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82" w:rsidRDefault="00997B82" w:rsidP="00997B82">
      <w:pPr>
        <w:widowControl w:val="0"/>
        <w:autoSpaceDE w:val="0"/>
        <w:autoSpaceDN w:val="0"/>
        <w:adjustRightInd w:val="0"/>
        <w:spacing w:after="0" w:line="240" w:lineRule="auto"/>
        <w:jc w:val="center"/>
        <w:outlineLvl w:val="0"/>
        <w:rPr>
          <w:rFonts w:ascii="Times New Roman" w:hAnsi="Times New Roman"/>
          <w:sz w:val="32"/>
          <w:szCs w:val="32"/>
        </w:rPr>
      </w:pPr>
      <w:bookmarkStart w:id="0" w:name="_Toc503449520"/>
      <w:r>
        <w:rPr>
          <w:rFonts w:ascii="Times New Roman" w:hAnsi="Times New Roman"/>
          <w:sz w:val="32"/>
          <w:szCs w:val="32"/>
        </w:rPr>
        <w:t>РЕВИЗИОННАЯ     КОМИССИЯ      КЕЖЕМСКОГО      РАЙОНА</w:t>
      </w:r>
      <w:bookmarkEnd w:id="0"/>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Утвержден</w:t>
      </w:r>
    </w:p>
    <w:p w:rsidR="00997B82" w:rsidRDefault="00997B82" w:rsidP="00997B8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приказом Ревизионной комиссии</w:t>
      </w:r>
    </w:p>
    <w:p w:rsidR="00997B82" w:rsidRDefault="00997B82" w:rsidP="00997B8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Кежемского района от 25.12.2017</w:t>
      </w:r>
    </w:p>
    <w:p w:rsidR="00997B82" w:rsidRDefault="00997B82" w:rsidP="00997B8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 05-01-04</w:t>
      </w: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outlineLvl w:val="0"/>
        <w:rPr>
          <w:rFonts w:ascii="Times New Roman" w:hAnsi="Times New Roman"/>
          <w:sz w:val="28"/>
          <w:szCs w:val="28"/>
        </w:rPr>
      </w:pPr>
    </w:p>
    <w:p w:rsidR="00997B82" w:rsidRDefault="00997B82" w:rsidP="00997B82">
      <w:pPr>
        <w:widowControl w:val="0"/>
        <w:autoSpaceDE w:val="0"/>
        <w:autoSpaceDN w:val="0"/>
        <w:adjustRightInd w:val="0"/>
        <w:spacing w:after="0" w:line="240" w:lineRule="auto"/>
        <w:jc w:val="center"/>
        <w:outlineLvl w:val="0"/>
        <w:rPr>
          <w:rFonts w:ascii="Times New Roman" w:hAnsi="Times New Roman"/>
          <w:sz w:val="26"/>
          <w:szCs w:val="26"/>
        </w:rPr>
      </w:pPr>
      <w:bookmarkStart w:id="1" w:name="_Toc503449521"/>
      <w:r>
        <w:rPr>
          <w:rFonts w:ascii="Times New Roman" w:hAnsi="Times New Roman"/>
          <w:sz w:val="26"/>
          <w:szCs w:val="26"/>
        </w:rPr>
        <w:t>СТАНДАРТ ОРГАНИЗАЦИИ ДЕЯТЕЛЬНОСТИ РЕВИЗИОННОЙ КОМИССИИ  КЕЖЕМСКОГО РАЙОНА</w:t>
      </w:r>
      <w:bookmarkEnd w:id="1"/>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СОД  1</w:t>
      </w:r>
    </w:p>
    <w:p w:rsidR="00997B82" w:rsidRDefault="00997B82" w:rsidP="00997B82">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sz w:val="32"/>
          <w:szCs w:val="32"/>
        </w:rPr>
        <w:t xml:space="preserve"> «</w:t>
      </w:r>
      <w:r>
        <w:rPr>
          <w:rFonts w:ascii="Times New Roman" w:hAnsi="Times New Roman"/>
          <w:b/>
          <w:bCs/>
          <w:sz w:val="32"/>
          <w:szCs w:val="32"/>
        </w:rPr>
        <w:t>Порядок планирования работы Ревизионной комиссии Кежемского района»</w:t>
      </w:r>
    </w:p>
    <w:p w:rsidR="00997B82" w:rsidRDefault="00997B82" w:rsidP="00997B82">
      <w:pPr>
        <w:widowControl w:val="0"/>
        <w:autoSpaceDE w:val="0"/>
        <w:autoSpaceDN w:val="0"/>
        <w:adjustRightInd w:val="0"/>
        <w:spacing w:after="0" w:line="240" w:lineRule="auto"/>
        <w:jc w:val="center"/>
        <w:rPr>
          <w:rFonts w:ascii="Times New Roman" w:hAnsi="Times New Roman"/>
          <w:b/>
          <w:bCs/>
          <w:sz w:val="32"/>
          <w:szCs w:val="32"/>
        </w:rPr>
      </w:pPr>
    </w:p>
    <w:p w:rsidR="00997B82" w:rsidRDefault="00997B82" w:rsidP="00997B82">
      <w:pPr>
        <w:widowControl w:val="0"/>
        <w:autoSpaceDE w:val="0"/>
        <w:autoSpaceDN w:val="0"/>
        <w:adjustRightInd w:val="0"/>
        <w:spacing w:after="0" w:line="240" w:lineRule="auto"/>
        <w:rPr>
          <w:rFonts w:ascii="Times New Roman" w:hAnsi="Times New Roman"/>
          <w:color w:val="0070C0"/>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color w:val="632423"/>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rPr>
          <w:rFonts w:ascii="Times New Roman" w:hAnsi="Times New Roman"/>
          <w:sz w:val="28"/>
          <w:szCs w:val="28"/>
        </w:rPr>
      </w:pPr>
    </w:p>
    <w:p w:rsidR="00997B82" w:rsidRDefault="00997B82" w:rsidP="00997B8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 Кодинск</w:t>
      </w:r>
    </w:p>
    <w:p w:rsidR="00997B82" w:rsidRDefault="00997B82" w:rsidP="00997B8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 xml:space="preserve">2017 </w:t>
      </w:r>
    </w:p>
    <w:p w:rsidR="00997B82" w:rsidRDefault="00997B82" w:rsidP="00997B82">
      <w:pPr>
        <w:widowControl w:val="0"/>
        <w:autoSpaceDE w:val="0"/>
        <w:autoSpaceDN w:val="0"/>
        <w:adjustRightInd w:val="0"/>
        <w:spacing w:after="0" w:line="240" w:lineRule="auto"/>
        <w:jc w:val="center"/>
        <w:outlineLvl w:val="1"/>
        <w:rPr>
          <w:rFonts w:ascii="Times New Roman" w:hAnsi="Times New Roman"/>
          <w:b/>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467"/>
        <w:gridCol w:w="283"/>
      </w:tblGrid>
      <w:tr w:rsidR="00997B82" w:rsidTr="00997B82">
        <w:trPr>
          <w:trHeight w:val="643"/>
        </w:trPr>
        <w:tc>
          <w:tcPr>
            <w:tcW w:w="9747" w:type="dxa"/>
            <w:gridSpan w:val="2"/>
            <w:tcBorders>
              <w:top w:val="nil"/>
              <w:left w:val="nil"/>
              <w:bottom w:val="nil"/>
              <w:right w:val="nil"/>
            </w:tcBorders>
            <w:vAlign w:val="center"/>
            <w:hideMark/>
          </w:tcPr>
          <w:p w:rsidR="00997B82" w:rsidRDefault="00997B82">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СОДЕРЖАНИЕ</w:t>
            </w:r>
          </w:p>
        </w:tc>
      </w:tr>
      <w:tr w:rsidR="00997B82" w:rsidTr="00997B82">
        <w:trPr>
          <w:trHeight w:val="75"/>
        </w:trPr>
        <w:tc>
          <w:tcPr>
            <w:tcW w:w="9464" w:type="dxa"/>
            <w:tcBorders>
              <w:top w:val="nil"/>
              <w:left w:val="nil"/>
              <w:bottom w:val="nil"/>
              <w:right w:val="nil"/>
            </w:tcBorders>
          </w:tcPr>
          <w:p w:rsidR="00997B82" w:rsidRDefault="00997B82">
            <w:pPr>
              <w:pStyle w:val="1"/>
            </w:pPr>
            <w:bookmarkStart w:id="2" w:name="_Toc503449522"/>
            <w:r>
              <w:tab/>
            </w:r>
            <w:bookmarkEnd w:id="2"/>
          </w:p>
          <w:p w:rsidR="00997B82" w:rsidRDefault="00997B82">
            <w:pPr>
              <w:pStyle w:val="a3"/>
              <w:tabs>
                <w:tab w:val="right" w:leader="dot" w:pos="9248"/>
              </w:tabs>
              <w:rPr>
                <w:rFonts w:ascii="Times New Roman" w:hAnsi="Times New Roman"/>
                <w:sz w:val="28"/>
                <w:szCs w:val="28"/>
              </w:rPr>
            </w:pPr>
            <w:r>
              <w:rPr>
                <w:rFonts w:ascii="Times New Roman" w:hAnsi="Times New Roman" w:cs="Calibri"/>
                <w:color w:val="000000"/>
                <w:sz w:val="28"/>
                <w:szCs w:val="28"/>
                <w:lang w:eastAsia="ru-RU"/>
              </w:rPr>
              <w:t>1. РЕГЛАМЕНТИРУЮЩИЕ ПОЛОЖЕНИЯ</w:t>
            </w:r>
            <w:r>
              <w:rPr>
                <w:rFonts w:ascii="Times New Roman" w:hAnsi="Times New Roman"/>
                <w:sz w:val="28"/>
                <w:szCs w:val="28"/>
              </w:rPr>
              <w:tab/>
              <w:t>3</w:t>
            </w:r>
          </w:p>
          <w:p w:rsidR="00997B82" w:rsidRDefault="00997B82">
            <w:pPr>
              <w:pStyle w:val="1"/>
              <w:tabs>
                <w:tab w:val="right" w:leader="dot" w:pos="9248"/>
              </w:tabs>
            </w:pPr>
            <w:r>
              <w:rPr>
                <w:rFonts w:cs="Times New Roman"/>
                <w:sz w:val="24"/>
                <w:szCs w:val="24"/>
              </w:rPr>
              <w:t>2.</w:t>
            </w:r>
            <w:r>
              <w:rPr>
                <w:sz w:val="24"/>
                <w:szCs w:val="24"/>
              </w:rPr>
              <w:t xml:space="preserve"> </w:t>
            </w:r>
            <w:r>
              <w:t>Общие положения</w:t>
            </w:r>
            <w:r>
              <w:tab/>
              <w:t>4</w:t>
            </w:r>
          </w:p>
          <w:p w:rsidR="00997B82" w:rsidRDefault="00997B82">
            <w:pPr>
              <w:pStyle w:val="1"/>
              <w:tabs>
                <w:tab w:val="right" w:leader="dot" w:pos="9248"/>
              </w:tabs>
            </w:pPr>
            <w:r>
              <w:t>3. Структура годового плана работы Ревизионной комиссии</w:t>
            </w:r>
            <w:r>
              <w:tab/>
              <w:t>5</w:t>
            </w:r>
          </w:p>
          <w:p w:rsidR="00997B82" w:rsidRDefault="00997B82">
            <w:pPr>
              <w:pStyle w:val="1"/>
              <w:tabs>
                <w:tab w:val="right" w:leader="dot" w:pos="9248"/>
              </w:tabs>
            </w:pPr>
            <w:r>
              <w:t>4. Формирование и утверждение плана работы ревизионной комиссии</w:t>
            </w:r>
            <w:r>
              <w:tab/>
              <w:t>7</w:t>
            </w:r>
          </w:p>
          <w:p w:rsidR="00997B82" w:rsidRDefault="00997B82">
            <w:pPr>
              <w:pStyle w:val="2"/>
              <w:tabs>
                <w:tab w:val="right" w:leader="dot" w:pos="9248"/>
              </w:tabs>
              <w:ind w:left="0"/>
              <w:rPr>
                <w:rFonts w:ascii="Times New Roman" w:hAnsi="Times New Roman" w:cs="Times New Roman"/>
                <w:sz w:val="28"/>
                <w:szCs w:val="28"/>
              </w:rPr>
            </w:pPr>
            <w:r>
              <w:rPr>
                <w:rFonts w:ascii="Times New Roman" w:hAnsi="Times New Roman" w:cs="Times New Roman"/>
                <w:sz w:val="28"/>
                <w:szCs w:val="28"/>
              </w:rPr>
              <w:t>5.  ВНЕСЕНИЕ ИЗМЕНЕНИЙ В ПЛАН РАБОТЫ РЕВИЗИОННОЙ КОМИССИИ</w:t>
            </w:r>
            <w:r>
              <w:rPr>
                <w:rFonts w:ascii="Times New Roman" w:hAnsi="Times New Roman" w:cs="Times New Roman"/>
                <w:sz w:val="28"/>
                <w:szCs w:val="28"/>
              </w:rPr>
              <w:tab/>
              <w:t>8</w:t>
            </w:r>
          </w:p>
          <w:p w:rsidR="00997B82" w:rsidRDefault="00997B82">
            <w:pPr>
              <w:pStyle w:val="3"/>
              <w:tabs>
                <w:tab w:val="right" w:leader="dot" w:pos="9248"/>
              </w:tabs>
              <w:ind w:left="0"/>
            </w:pPr>
            <w:r>
              <w:rPr>
                <w:rFonts w:ascii="Times New Roman" w:hAnsi="Times New Roman" w:cs="Times New Roman"/>
                <w:i w:val="0"/>
                <w:sz w:val="28"/>
                <w:szCs w:val="28"/>
              </w:rPr>
              <w:t>6. ОСУЩЕСТВЛЕНИЕ КОНТРОЛЯ</w:t>
            </w:r>
            <w:r>
              <w:rPr>
                <w:rFonts w:ascii="Times New Roman" w:hAnsi="Times New Roman" w:cs="Times New Roman"/>
                <w:sz w:val="28"/>
                <w:szCs w:val="28"/>
              </w:rPr>
              <w:t xml:space="preserve"> </w:t>
            </w:r>
            <w:r>
              <w:rPr>
                <w:rFonts w:ascii="Times New Roman" w:hAnsi="Times New Roman" w:cs="Times New Roman"/>
                <w:i w:val="0"/>
                <w:sz w:val="28"/>
                <w:szCs w:val="28"/>
              </w:rPr>
              <w:tab/>
              <w:t>9</w:t>
            </w:r>
          </w:p>
          <w:p w:rsidR="00997B82" w:rsidRDefault="00997B82">
            <w:pPr>
              <w:pStyle w:val="1"/>
              <w:tabs>
                <w:tab w:val="right" w:leader="dot" w:pos="9356"/>
              </w:tabs>
            </w:pPr>
            <w:r>
              <w:t>ПРИЛОЖЕНИЕ</w:t>
            </w:r>
            <w:r>
              <w:tab/>
              <w:t>10</w:t>
            </w:r>
          </w:p>
          <w:p w:rsidR="00997B82" w:rsidRDefault="00997B82">
            <w:pPr>
              <w:pStyle w:val="3"/>
              <w:tabs>
                <w:tab w:val="right" w:leader="dot" w:pos="9248"/>
              </w:tabs>
              <w:ind w:left="446"/>
            </w:pPr>
          </w:p>
          <w:p w:rsidR="00997B82" w:rsidRDefault="00997B82">
            <w:pPr>
              <w:autoSpaceDE w:val="0"/>
              <w:autoSpaceDN w:val="0"/>
              <w:adjustRightInd w:val="0"/>
              <w:spacing w:after="0"/>
              <w:ind w:left="510"/>
              <w:outlineLvl w:val="0"/>
              <w:rPr>
                <w:rFonts w:ascii="Times New Roman" w:hAnsi="Times New Roman"/>
                <w:b/>
                <w:bCs/>
                <w:color w:val="000000"/>
                <w:sz w:val="28"/>
                <w:szCs w:val="28"/>
                <w:lang w:eastAsia="ru-RU"/>
              </w:rPr>
            </w:pPr>
          </w:p>
        </w:tc>
        <w:tc>
          <w:tcPr>
            <w:tcW w:w="283" w:type="dxa"/>
            <w:tcBorders>
              <w:top w:val="nil"/>
              <w:left w:val="nil"/>
              <w:bottom w:val="nil"/>
              <w:right w:val="nil"/>
            </w:tcBorders>
            <w:vAlign w:val="center"/>
          </w:tcPr>
          <w:p w:rsidR="00997B82" w:rsidRDefault="00997B82">
            <w:pPr>
              <w:autoSpaceDE w:val="0"/>
              <w:autoSpaceDN w:val="0"/>
              <w:adjustRightInd w:val="0"/>
              <w:spacing w:after="0"/>
              <w:jc w:val="center"/>
              <w:outlineLvl w:val="0"/>
              <w:rPr>
                <w:rFonts w:ascii="Times New Roman" w:hAnsi="Times New Roman"/>
                <w:bCs/>
                <w:color w:val="000000"/>
                <w:sz w:val="28"/>
                <w:szCs w:val="28"/>
                <w:lang w:eastAsia="ru-RU"/>
              </w:rPr>
            </w:pPr>
          </w:p>
        </w:tc>
      </w:tr>
      <w:tr w:rsidR="00997B82" w:rsidTr="00997B82">
        <w:tc>
          <w:tcPr>
            <w:tcW w:w="9464" w:type="dxa"/>
            <w:tcBorders>
              <w:top w:val="nil"/>
              <w:left w:val="nil"/>
              <w:bottom w:val="nil"/>
              <w:right w:val="nil"/>
            </w:tcBorders>
          </w:tcPr>
          <w:p w:rsidR="00997B82" w:rsidRDefault="00997B82">
            <w:pPr>
              <w:autoSpaceDE w:val="0"/>
              <w:autoSpaceDN w:val="0"/>
              <w:adjustRightInd w:val="0"/>
              <w:spacing w:after="0"/>
              <w:rPr>
                <w:rFonts w:ascii="Times New Roman" w:hAnsi="Times New Roman"/>
                <w:b/>
                <w:bCs/>
                <w:color w:val="000000"/>
                <w:sz w:val="28"/>
                <w:szCs w:val="28"/>
                <w:lang w:eastAsia="ru-RU"/>
              </w:rPr>
            </w:pPr>
          </w:p>
        </w:tc>
        <w:tc>
          <w:tcPr>
            <w:tcW w:w="283" w:type="dxa"/>
            <w:tcBorders>
              <w:top w:val="nil"/>
              <w:left w:val="nil"/>
              <w:bottom w:val="nil"/>
              <w:right w:val="nil"/>
            </w:tcBorders>
            <w:vAlign w:val="center"/>
          </w:tcPr>
          <w:p w:rsidR="00997B82" w:rsidRDefault="00997B82">
            <w:pPr>
              <w:autoSpaceDE w:val="0"/>
              <w:autoSpaceDN w:val="0"/>
              <w:adjustRightInd w:val="0"/>
              <w:spacing w:after="0"/>
              <w:jc w:val="center"/>
              <w:rPr>
                <w:rFonts w:ascii="Times New Roman" w:hAnsi="Times New Roman"/>
                <w:bCs/>
                <w:color w:val="000000"/>
                <w:sz w:val="28"/>
                <w:szCs w:val="28"/>
                <w:lang w:eastAsia="ru-RU"/>
              </w:rPr>
            </w:pPr>
          </w:p>
        </w:tc>
      </w:tr>
    </w:tbl>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widowControl w:val="0"/>
        <w:autoSpaceDE w:val="0"/>
        <w:autoSpaceDN w:val="0"/>
        <w:adjustRightInd w:val="0"/>
        <w:spacing w:after="0"/>
        <w:outlineLvl w:val="1"/>
        <w:rPr>
          <w:rFonts w:ascii="Times New Roman" w:hAnsi="Times New Roman"/>
          <w:b/>
          <w:sz w:val="28"/>
          <w:szCs w:val="28"/>
        </w:rPr>
      </w:pPr>
    </w:p>
    <w:p w:rsidR="00997B82" w:rsidRDefault="00997B82" w:rsidP="00997B82">
      <w:pPr>
        <w:pStyle w:val="a7"/>
        <w:numPr>
          <w:ilvl w:val="0"/>
          <w:numId w:val="1"/>
        </w:numPr>
        <w:jc w:val="both"/>
        <w:rPr>
          <w:rFonts w:ascii="Times New Roman" w:hAnsi="Times New Roman"/>
          <w:b/>
          <w:sz w:val="28"/>
          <w:szCs w:val="28"/>
        </w:rPr>
      </w:pPr>
      <w:r>
        <w:rPr>
          <w:rFonts w:ascii="Times New Roman" w:hAnsi="Times New Roman"/>
          <w:b/>
          <w:sz w:val="28"/>
          <w:szCs w:val="28"/>
        </w:rPr>
        <w:lastRenderedPageBreak/>
        <w:t>Регламентирующие положения</w:t>
      </w:r>
    </w:p>
    <w:p w:rsidR="00997B82" w:rsidRDefault="00997B82" w:rsidP="00997B82">
      <w:pPr>
        <w:pStyle w:val="a7"/>
        <w:numPr>
          <w:ilvl w:val="1"/>
          <w:numId w:val="1"/>
        </w:numPr>
        <w:spacing w:line="240" w:lineRule="auto"/>
        <w:ind w:left="142" w:firstLine="567"/>
        <w:jc w:val="both"/>
        <w:rPr>
          <w:rFonts w:ascii="Times New Roman" w:hAnsi="Times New Roman"/>
          <w:sz w:val="28"/>
          <w:szCs w:val="28"/>
        </w:rPr>
      </w:pPr>
      <w:r>
        <w:rPr>
          <w:rFonts w:ascii="Times New Roman" w:hAnsi="Times New Roman"/>
          <w:sz w:val="28"/>
          <w:szCs w:val="28"/>
        </w:rPr>
        <w:t>Стандарт организации деятельности  Ревизионной комиссии Кежемского района «Порядок планирования работы Ревизионной комиссии Кежемского района», (далее –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статьи 8 Положения о районной ревизионной комиссии, утвержденного решением Кежемского районного Совета депутатов от 14.09.2012 № 29-176 (далее – Положение о Ревизионной комиссии), с учетом положений   Регламента Ревизионной комиссии, утвержденного приказом от 30 от 28.12.2015 года (далее - Регламент Ревизионной комиссии).</w:t>
      </w:r>
    </w:p>
    <w:p w:rsidR="00997B82" w:rsidRDefault="00997B82" w:rsidP="00997B82">
      <w:pPr>
        <w:pStyle w:val="a7"/>
        <w:numPr>
          <w:ilvl w:val="1"/>
          <w:numId w:val="1"/>
        </w:numPr>
        <w:spacing w:after="0" w:line="240" w:lineRule="auto"/>
        <w:ind w:left="0" w:firstLine="7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997B82" w:rsidRDefault="00997B82" w:rsidP="00997B8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При разработке настоящего Стандарта использован Стандарт Счетной палаты Красноярского края  СОД 1 «Порядок планирования работы Счетной палаты Красноярского края», утвержденный Коллегией Счетной палаты Красноярского края (протокол от 29.12.2011 № 18, в редакции протокола от 26.10.2017 № 14), СОД (типовой), утвержденный решением Президиума Союза МКСО, протокол заседания Президиума Союза МКСО от 19.12.2012 г. № 5 (31), п. 10.2.</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 xml:space="preserve">1.4. Целью настоящего Стандарта является установление общих принципов, правил и процедур планирования работы Ревизионной комиссии Кежемского района (далее – РЕВИЗИОННОЙ КОМИССИИ). </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1.5. Задачами настоящего Стандарта являются определение видов, формы, содержания и структуры плановых документов Ревизионной комиссии, порядка организации и осуществления процесса планирования, а также процессов формирования и утверждения плана, внесения изменений и дополнений в план работы Ревизионной комиссии.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1.6. Требования настоящего Стандарта распространяются на сотрудников РЕВИЗИОННОЙ КОМИССИИ, участвующих в процессе планирования и (или) руководствующихся плановыми документами в своей деятельности.</w:t>
      </w:r>
    </w:p>
    <w:p w:rsidR="00997B82" w:rsidRDefault="00997B82" w:rsidP="00997B82">
      <w:pPr>
        <w:tabs>
          <w:tab w:val="left" w:pos="1560"/>
        </w:tabs>
        <w:spacing w:line="240" w:lineRule="auto"/>
        <w:ind w:firstLine="709"/>
        <w:jc w:val="both"/>
        <w:rPr>
          <w:rFonts w:ascii="Times New Roman" w:hAnsi="Times New Roman"/>
          <w:sz w:val="28"/>
          <w:szCs w:val="28"/>
        </w:rPr>
      </w:pPr>
      <w:r>
        <w:rPr>
          <w:rFonts w:ascii="Times New Roman" w:hAnsi="Times New Roman"/>
          <w:sz w:val="28"/>
          <w:szCs w:val="28"/>
        </w:rPr>
        <w:t>1.7.  В случае внесения изменений в нормативные правовые акты, ссылки на которые содержатся в настоящем Стандарте (замены их новыми), положения Стандарта применяются с учетом соответствующих изменений.</w:t>
      </w: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b/>
          <w:sz w:val="28"/>
          <w:szCs w:val="28"/>
        </w:rPr>
      </w:pPr>
      <w:r>
        <w:rPr>
          <w:rFonts w:ascii="Times New Roman" w:hAnsi="Times New Roman"/>
          <w:b/>
          <w:sz w:val="28"/>
          <w:szCs w:val="28"/>
        </w:rPr>
        <w:tab/>
        <w:t>2. Общие положения</w:t>
      </w: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sz w:val="28"/>
          <w:szCs w:val="28"/>
        </w:rPr>
        <w:t>2.1. Планирование осуществляется с целью эффективной организации работы при реализации РЕВИЗИОННОЙ КОМИССИИ полномочий по осуществлению внешнего муниципального финансового контроля.</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sz w:val="28"/>
          <w:szCs w:val="28"/>
        </w:rPr>
        <w:t>2.2.  Основными задачами планирования являются:</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sz w:val="28"/>
          <w:szCs w:val="28"/>
        </w:rPr>
        <w:t>обеспечение всестороннего системного контроля за формированием и исполнением районного бюджета, управлением и распоряжением имуществом, находящимся в муниципальной собственности района (обеспечение достаточности, сбалансированности и комплексности контрольных и экспертно-аналитических мероприятий);</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sz w:val="28"/>
          <w:szCs w:val="28"/>
        </w:rPr>
        <w:t>рациональность распределения трудовых, финансовых, материальных и иных ресурсов, направляемых на обеспечение выполнения РЕВИЗИОННОЙ КОМИССИЕЙ законодательно установленных полномочий.</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sz w:val="28"/>
          <w:szCs w:val="28"/>
        </w:rPr>
        <w:t>2.3. Планирование деятельности РЕВИЗИОННОЙ КОМИССИИ осуществляется с учетом стратегических целей и задач экономической и бюджетной политики Российской Федерации, Красноярского края и Кежемского района в соответствии со следующими принципами:</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i/>
          <w:sz w:val="28"/>
          <w:szCs w:val="28"/>
        </w:rPr>
        <w:t>комплексность планирования</w:t>
      </w:r>
      <w:r>
        <w:rPr>
          <w:rFonts w:ascii="Times New Roman" w:hAnsi="Times New Roman"/>
          <w:sz w:val="28"/>
          <w:szCs w:val="28"/>
        </w:rPr>
        <w:t xml:space="preserve"> (с учетом возложенных полномочий и по всем направлениям: организационная работа, контрольные мероприятия, реализация материалов контрольных и экспертно-аналитических материалов, методологическое обеспечение деятельности, экспертно-аналитическая деятельность, материально-техническое обеспечение, противодействие коррупции, информационная деятельность, взаимодействие с другими органами);</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i/>
          <w:sz w:val="28"/>
          <w:szCs w:val="28"/>
        </w:rPr>
        <w:t>непрерывность планирования</w:t>
      </w:r>
      <w:r>
        <w:rPr>
          <w:rFonts w:ascii="Times New Roman" w:hAnsi="Times New Roman"/>
          <w:sz w:val="28"/>
          <w:szCs w:val="28"/>
        </w:rPr>
        <w:t xml:space="preserve"> (сочетание стратегического, среднесрочного, годового и текущего планирования);</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i/>
          <w:sz w:val="28"/>
          <w:szCs w:val="28"/>
        </w:rPr>
        <w:t xml:space="preserve">обязательность включения </w:t>
      </w:r>
      <w:r>
        <w:rPr>
          <w:rFonts w:ascii="Times New Roman" w:hAnsi="Times New Roman"/>
          <w:sz w:val="28"/>
          <w:szCs w:val="28"/>
        </w:rPr>
        <w:t>в план работы мероприятий по поручениям  представительного органа местного самоуправления района, предложениям и запросам Главы района;</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i/>
          <w:sz w:val="28"/>
          <w:szCs w:val="28"/>
        </w:rPr>
        <w:lastRenderedPageBreak/>
        <w:t xml:space="preserve">обязательность рассмотрения </w:t>
      </w:r>
      <w:r>
        <w:rPr>
          <w:rFonts w:ascii="Times New Roman" w:hAnsi="Times New Roman"/>
          <w:sz w:val="28"/>
          <w:szCs w:val="28"/>
        </w:rPr>
        <w:t>предложений комиссий представительного органа местного самоуправления района при формировании плана работы;</w:t>
      </w:r>
    </w:p>
    <w:p w:rsidR="00997B82" w:rsidRDefault="00997B82" w:rsidP="00997B82">
      <w:pPr>
        <w:spacing w:line="240" w:lineRule="auto"/>
        <w:ind w:firstLine="709"/>
        <w:jc w:val="both"/>
        <w:rPr>
          <w:rFonts w:ascii="Times New Roman" w:hAnsi="Times New Roman"/>
          <w:sz w:val="28"/>
          <w:szCs w:val="28"/>
        </w:rPr>
      </w:pPr>
      <w:r>
        <w:rPr>
          <w:rFonts w:ascii="Times New Roman" w:hAnsi="Times New Roman"/>
          <w:i/>
          <w:sz w:val="28"/>
          <w:szCs w:val="28"/>
        </w:rPr>
        <w:t>обоснованность планов</w:t>
      </w:r>
      <w:r>
        <w:rPr>
          <w:rFonts w:ascii="Times New Roman" w:hAnsi="Times New Roman"/>
          <w:sz w:val="28"/>
          <w:szCs w:val="28"/>
        </w:rPr>
        <w:t xml:space="preserve"> (обеспечение экономической обоснованности; обязательность проведения контрольных мероприятий  с целью последующего контроля  за реализацией ранее направленных предписаний (представлений); определение приоритетных направлений контроля с учетом вероятности возникновения финансовых нарушений).</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2.4. Основным плановым документом РЕВИЗИОННОЙ КОМИССИИ является годовой план работы Ревизионной комиссии (или план работы Ревизионной комиссии на  ______ год). При необходимости в Ревизионной комиссии могут разрабатываться и другие плановые документы: план работы на текущий период (от одного месяца до полугодия), планы мероприятий, направленные на решение определенных задач, оперативные планы, индивидуальные планы и др.</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r>
    </w:p>
    <w:p w:rsidR="00997B82" w:rsidRDefault="00997B82" w:rsidP="00997B82">
      <w:pPr>
        <w:spacing w:line="240" w:lineRule="auto"/>
        <w:jc w:val="both"/>
        <w:rPr>
          <w:rFonts w:ascii="Times New Roman" w:hAnsi="Times New Roman"/>
          <w:b/>
          <w:sz w:val="28"/>
          <w:szCs w:val="28"/>
        </w:rPr>
      </w:pPr>
      <w:r>
        <w:rPr>
          <w:rFonts w:ascii="Times New Roman" w:hAnsi="Times New Roman"/>
          <w:b/>
          <w:sz w:val="28"/>
          <w:szCs w:val="28"/>
        </w:rPr>
        <w:tab/>
        <w:t>3. Структура Годового плана работы РЕВИЗИОННОЙ КОМИССИИ</w:t>
      </w:r>
    </w:p>
    <w:p w:rsidR="00997B82" w:rsidRDefault="00997B82" w:rsidP="00997B82">
      <w:pPr>
        <w:tabs>
          <w:tab w:val="left" w:pos="567"/>
          <w:tab w:val="left" w:pos="993"/>
          <w:tab w:val="left" w:pos="1134"/>
          <w:tab w:val="left" w:pos="1276"/>
          <w:tab w:val="left" w:pos="1560"/>
        </w:tabs>
        <w:spacing w:line="240" w:lineRule="auto"/>
        <w:jc w:val="both"/>
        <w:rPr>
          <w:rFonts w:ascii="Times New Roman" w:hAnsi="Times New Roman"/>
          <w:b/>
          <w:sz w:val="28"/>
          <w:szCs w:val="28"/>
        </w:rPr>
      </w:pPr>
    </w:p>
    <w:p w:rsidR="00997B82" w:rsidRDefault="00997B82" w:rsidP="00997B82">
      <w:pPr>
        <w:tabs>
          <w:tab w:val="left" w:pos="567"/>
          <w:tab w:val="left" w:pos="993"/>
          <w:tab w:val="left" w:pos="1134"/>
          <w:tab w:val="left" w:pos="1276"/>
          <w:tab w:val="left" w:pos="1560"/>
        </w:tabs>
        <w:spacing w:line="240" w:lineRule="auto"/>
        <w:ind w:firstLine="567"/>
        <w:jc w:val="both"/>
        <w:rPr>
          <w:rFonts w:ascii="Times New Roman" w:hAnsi="Times New Roman"/>
          <w:sz w:val="28"/>
          <w:szCs w:val="28"/>
        </w:rPr>
      </w:pPr>
      <w:r>
        <w:rPr>
          <w:rFonts w:ascii="Times New Roman" w:hAnsi="Times New Roman"/>
          <w:sz w:val="28"/>
          <w:szCs w:val="28"/>
        </w:rPr>
        <w:t xml:space="preserve">3.1. Годовой план работы РЕВИЗИОННОЙ КОМИССИИ (далее – план работы РЕВИЗИОННОЙ КОМИССИИ, план)  представляет собой перечень мероприятий, запланированных к проведению в течение следующего года, с указанием периода проведения,  должностей ответственных исполнителей, оснований для включения в план. План работы имеет табличную форму, которая приведена в  Приложении № 1 к Стандарту. </w:t>
      </w:r>
    </w:p>
    <w:p w:rsidR="00997B82" w:rsidRDefault="00997B82" w:rsidP="00997B82">
      <w:pPr>
        <w:tabs>
          <w:tab w:val="left" w:pos="567"/>
          <w:tab w:val="left" w:pos="993"/>
          <w:tab w:val="left" w:pos="1134"/>
          <w:tab w:val="left" w:pos="1276"/>
          <w:tab w:val="left" w:pos="1560"/>
        </w:tabs>
        <w:spacing w:line="240" w:lineRule="auto"/>
        <w:ind w:firstLine="567"/>
        <w:jc w:val="both"/>
        <w:rPr>
          <w:rFonts w:ascii="Times New Roman" w:hAnsi="Times New Roman"/>
          <w:sz w:val="28"/>
          <w:szCs w:val="28"/>
        </w:rPr>
      </w:pPr>
      <w:r>
        <w:rPr>
          <w:rFonts w:ascii="Times New Roman" w:hAnsi="Times New Roman"/>
          <w:sz w:val="28"/>
          <w:szCs w:val="28"/>
        </w:rPr>
        <w:t>Не допускается включение в проект годового плана работы мероприятий, на которые не распространяются полномочия контрольно-счетного органа района.</w:t>
      </w:r>
    </w:p>
    <w:p w:rsidR="00997B82" w:rsidRDefault="00997B82" w:rsidP="00997B82">
      <w:pPr>
        <w:tabs>
          <w:tab w:val="left" w:pos="567"/>
          <w:tab w:val="left" w:pos="993"/>
          <w:tab w:val="left" w:pos="1134"/>
          <w:tab w:val="left" w:pos="1276"/>
          <w:tab w:val="left" w:pos="1560"/>
        </w:tabs>
        <w:spacing w:line="240" w:lineRule="auto"/>
        <w:ind w:firstLine="567"/>
        <w:jc w:val="both"/>
        <w:rPr>
          <w:rFonts w:ascii="Times New Roman" w:hAnsi="Times New Roman"/>
          <w:sz w:val="28"/>
          <w:szCs w:val="28"/>
        </w:rPr>
      </w:pPr>
      <w:r>
        <w:rPr>
          <w:rFonts w:ascii="Times New Roman" w:hAnsi="Times New Roman"/>
          <w:sz w:val="28"/>
          <w:szCs w:val="28"/>
        </w:rPr>
        <w:t>Не допускается проведение мероприятий на одном объекте контроля в различные периоды времени в течение одного календарного года (за исключением объектов мероприятий, проводимых ежегодно в рамках предварительного, оперативного и последующего контроля формирования и исполнения районного бюджета (бюджета района), а также организаций, являющихся главными администраторами бюджетных средств районного бюджета).</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 xml:space="preserve">3.2. План работы РЕВИЗИОННОЙ КОМИССИИ формируется по девяти  сводным разделам, сгруппированным по направлениям деятельности: </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организационная работа;</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lastRenderedPageBreak/>
        <w:t>- контрольные мероприятия;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-реализация материалов контрольных и экспертно-аналитических мероприятий;</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методологическое обеспечение деятельности;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экспертно-аналитическая деятельность;</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материально-техническое обеспечение;</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противодействие коррупции;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информационная и иная деятельность;</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взаимодействие с другими органами.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3.3. В плане работы РЕВИЗИОННОЙ КОМИССИИ указываются: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наименование мероприятий;</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период проведения;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основание для включения мероприятия в план;</w:t>
      </w:r>
    </w:p>
    <w:p w:rsidR="00997B82" w:rsidRDefault="00997B82" w:rsidP="00997B82">
      <w:pPr>
        <w:spacing w:after="0" w:line="240" w:lineRule="auto"/>
        <w:contextualSpacing/>
        <w:jc w:val="both"/>
        <w:rPr>
          <w:rFonts w:ascii="Times New Roman" w:hAnsi="Times New Roman"/>
          <w:sz w:val="28"/>
          <w:szCs w:val="28"/>
        </w:rPr>
      </w:pPr>
      <w:r>
        <w:rPr>
          <w:rFonts w:ascii="Times New Roman" w:hAnsi="Times New Roman"/>
          <w:sz w:val="28"/>
          <w:szCs w:val="28"/>
        </w:rPr>
        <w:t>- ответственные исполнители (наименования должностей).</w:t>
      </w:r>
    </w:p>
    <w:p w:rsidR="00997B82" w:rsidRDefault="00997B82" w:rsidP="00997B82">
      <w:pPr>
        <w:pStyle w:val="a5"/>
        <w:spacing w:line="240" w:lineRule="auto"/>
        <w:ind w:left="57" w:firstLine="369"/>
      </w:pPr>
      <w:r>
        <w:t>3.4.  Подготовка предложений о проведении мероприятий с участием других контрольных (контрольно-счетных) и правоохранительных органов осуществляется в порядке, предусмотренном заключенными соглашениями с указанными органами.</w:t>
      </w:r>
    </w:p>
    <w:p w:rsidR="00997B82" w:rsidRDefault="00997B82" w:rsidP="00997B82">
      <w:pPr>
        <w:pStyle w:val="a5"/>
        <w:spacing w:line="240" w:lineRule="auto"/>
        <w:ind w:left="57" w:firstLine="369"/>
      </w:pPr>
      <w:r>
        <w:t xml:space="preserve">3.5.  При подготовке предложений о включении в проект </w:t>
      </w:r>
      <w:r>
        <w:rPr>
          <w:szCs w:val="28"/>
        </w:rPr>
        <w:t>годового плана</w:t>
      </w:r>
      <w:r>
        <w:t xml:space="preserve"> мероприятий, планируемых к проведению совместно (параллельно) с иными контрольно-счетными органами, необходимо учитывать положения стандартов и регламентов, регулирующих деятельность вышеуказанных органов.</w:t>
      </w:r>
    </w:p>
    <w:p w:rsidR="00997B82" w:rsidRDefault="00997B82" w:rsidP="00997B82">
      <w:pPr>
        <w:spacing w:after="0" w:line="240" w:lineRule="auto"/>
        <w:ind w:left="57" w:firstLine="369"/>
        <w:jc w:val="both"/>
        <w:rPr>
          <w:rFonts w:ascii="Times New Roman" w:hAnsi="Times New Roman"/>
          <w:sz w:val="28"/>
          <w:szCs w:val="28"/>
        </w:rPr>
      </w:pPr>
      <w:r>
        <w:rPr>
          <w:rFonts w:ascii="Times New Roman" w:hAnsi="Times New Roman"/>
          <w:sz w:val="28"/>
          <w:szCs w:val="28"/>
        </w:rPr>
        <w:t xml:space="preserve">3.6.  При определении перечня мероприятий и сроков их реализации по возможности осуществляется координация планов работы контрольно-счетного органа с планами работы других органов финансового контроля. </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 xml:space="preserve">3.7. В графе «Наименование мероприятий» отражается наименование планируемых мероприятий. Наименование планируемого контрольного или экспертно-аналитического мероприятия должно иметь четкую, однозначную формулировку и соответствовать полномочиям РЕВИЗИОННОЙ КОМИССИИ, установленным законом. </w:t>
      </w:r>
    </w:p>
    <w:p w:rsidR="00997B82" w:rsidRDefault="00997B82" w:rsidP="00997B82">
      <w:pPr>
        <w:spacing w:line="240" w:lineRule="auto"/>
        <w:ind w:firstLine="567"/>
        <w:jc w:val="both"/>
        <w:rPr>
          <w:rFonts w:ascii="Times New Roman" w:hAnsi="Times New Roman"/>
          <w:sz w:val="28"/>
          <w:szCs w:val="28"/>
        </w:rPr>
      </w:pPr>
      <w:r>
        <w:rPr>
          <w:rFonts w:ascii="Times New Roman" w:hAnsi="Times New Roman"/>
          <w:sz w:val="28"/>
          <w:szCs w:val="28"/>
        </w:rPr>
        <w:t>В наименовании контрольного (экспертно-аналитического) мероприятия объекты контроля не указываются (за исключением случаев проведения мероприятия на одном объекте; перечень объектов определяется в программе (плане) мероприятия, утверждаемой РЕВИЗИОННОЙ КОМИССИЕЙ).</w:t>
      </w:r>
    </w:p>
    <w:p w:rsidR="00997B82" w:rsidRDefault="00997B82" w:rsidP="00997B82">
      <w:pPr>
        <w:spacing w:line="240" w:lineRule="auto"/>
        <w:ind w:firstLine="567"/>
        <w:jc w:val="both"/>
        <w:rPr>
          <w:rFonts w:ascii="Times New Roman" w:hAnsi="Times New Roman"/>
          <w:sz w:val="28"/>
          <w:szCs w:val="28"/>
        </w:rPr>
      </w:pPr>
      <w:r>
        <w:rPr>
          <w:rFonts w:ascii="Times New Roman" w:hAnsi="Times New Roman"/>
          <w:sz w:val="28"/>
          <w:szCs w:val="28"/>
        </w:rPr>
        <w:lastRenderedPageBreak/>
        <w:t>При включении в план работы контрольных (экспертно-аналитических) мероприятий объектов контроля, которым ранее были направлены представления (предписания) Ревизионной комиссии, в наименование мероприятия включается номер и дата представления (предписания), программа (план) мероприятия не подлежит изменению и должна соответствовать программе (плану) ранее проведенного контрольного (экспертно-аналитического) мероприятия.</w:t>
      </w:r>
    </w:p>
    <w:p w:rsidR="00997B82" w:rsidRDefault="00997B82" w:rsidP="00997B82">
      <w:pPr>
        <w:spacing w:line="240" w:lineRule="auto"/>
        <w:ind w:firstLine="567"/>
        <w:jc w:val="both"/>
        <w:rPr>
          <w:rFonts w:ascii="Times New Roman" w:hAnsi="Times New Roman"/>
          <w:sz w:val="28"/>
          <w:szCs w:val="28"/>
        </w:rPr>
      </w:pPr>
      <w:r>
        <w:rPr>
          <w:rFonts w:ascii="Times New Roman" w:hAnsi="Times New Roman"/>
          <w:sz w:val="28"/>
          <w:szCs w:val="28"/>
        </w:rPr>
        <w:t>В случае планирования проведения совместного (или параллельного) контрольного (экспертно-аналитического) мероприятия в графе «Основание для включения мероприятия в план» указывается наименование документа, являющегося основанием взаимодействия (соглашение, договор, решение). В случае необходимости в графе «ответственные исполнители» указывается наименование представителя органа (организации), совместно с которыми планируется проведение мероприятия.</w:t>
      </w:r>
    </w:p>
    <w:p w:rsidR="00997B82" w:rsidRDefault="00997B82" w:rsidP="00997B82">
      <w:pPr>
        <w:spacing w:line="240" w:lineRule="auto"/>
        <w:ind w:firstLine="567"/>
        <w:jc w:val="both"/>
        <w:rPr>
          <w:rFonts w:ascii="Times New Roman" w:hAnsi="Times New Roman"/>
          <w:sz w:val="28"/>
          <w:szCs w:val="28"/>
        </w:rPr>
      </w:pPr>
      <w:r>
        <w:rPr>
          <w:rFonts w:ascii="Times New Roman" w:hAnsi="Times New Roman"/>
          <w:sz w:val="28"/>
          <w:szCs w:val="28"/>
        </w:rPr>
        <w:t>В случае включения в план работы РЕВИЗИОННОЙ КОМИССИИ контрольных (экспертно-аналитических) мероприятий в объектах контроля муниципальных образований, передавших полномочия по внешнему муниципальному финансовому контролю, в графе «Основание для включения мероприятия в план» указывается соглашение о передаче полномочий.</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3.8. В графе «Период проведения» указывается квартал (кварталы), предельный срок исполнения или месяц (месяцы)  в котором планируется проведение мероприятия, а в случае регулярного, имеющего постоянный и непрерывный характер (или длящегося), мероприятия (направления работы) указывается «в течение года».</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При определении срока проведения контрольного (экспертно-аналитического) мероприятия необходимо учитывать сроки проведения его этапов (подготовительного, основного и заключительного).</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3.9. В графе «Основание для включения мероприятия в план», кроме информации  отраженной в пункте 3.4. Стандарта, указываются нормативно-правовые основания для включения мероприятия в план работы (законы, муниципальные правовые акты, стандарты, приказы, протоколы или выписки из протоколов, запросы, ходатайства, обращения).</w:t>
      </w: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ind w:firstLine="708"/>
        <w:jc w:val="both"/>
        <w:rPr>
          <w:rFonts w:ascii="Times New Roman" w:hAnsi="Times New Roman"/>
          <w:b/>
          <w:sz w:val="28"/>
          <w:szCs w:val="28"/>
        </w:rPr>
      </w:pPr>
      <w:r>
        <w:rPr>
          <w:rFonts w:ascii="Times New Roman" w:hAnsi="Times New Roman"/>
          <w:b/>
          <w:sz w:val="28"/>
          <w:szCs w:val="28"/>
        </w:rPr>
        <w:t>4. Формирование и утверждение плана работы РЕВИЗИОННОЙ КОМИССИИ</w:t>
      </w: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 xml:space="preserve">4.1. Формирование и утверждение плана работы РЕВИЗИОННОЙ КОМИССИИ осуществляется с учетом положений статьи 13 Федерального  </w:t>
      </w:r>
      <w:r>
        <w:rPr>
          <w:rFonts w:ascii="Times New Roman" w:hAnsi="Times New Roman"/>
          <w:sz w:val="28"/>
          <w:szCs w:val="28"/>
        </w:rPr>
        <w:lastRenderedPageBreak/>
        <w:t>закона 6-ФЗ, статей 3,4 Регламента Ревизионной комиссии, статьи 9 Положения о РЕВИЗИОННОЙ КОМИССИИ и настоящего Стандарта.</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4.2. При формировании проекта плана работы РЕВИЗИОННОЙ КОМИССИИ рассматриваются предложения, поручения и запросы о включении в план работы РЕВИЗИОННОЙ КОМИССИИ контрольных и экспертно-аналитических мероприятий, поступившие до 15 ноября текущего года, от Главы района, представительного органа местного самоуправления района (поселений, передавших полномочия по внешнему муниципальному финансовому контролю), органа внутреннего финансового контроля, Счетной палаты Красноярского края, иных контрольных (надзорных) органов.</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4.3. Обязательному включению в план работы РЕВИЗИОННОЙ КОМИССИИ подлежат поручения Кежемского районного Совета депутатов, предложения и запросы Главы района.</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Предложения по контрольным и экспертно-аналитическим мероприятиям, предлагаемые в проект годового плана работы должны учитывать:</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вид мероприятия (контрольное или экспертно-аналитическое) и его наименование;</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перечень объектов контрольного мероприятия (наименование проверяемых органов, учреждений, организаций) либо необходимость ответственному исполнителю самостоятельно установить перечень объектов проверки;</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планируемые сроки проведения мероприятия;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проверяемый период;</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xml:space="preserve">- наличие рисков в рассматриваемой сфере формирования или использования средств бюджета муниципального образования, муниципальной собственности и (или) деятельности объектов мероприятия, которые потенциально могут приводить к негативным результатам; </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объем муниципальных средств, подлежащих контролю в данной сфере и (или) используемых объектами мероприятия;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сроки и результаты проведения предшествующих контрольных мероприятий в данной сфере и (или) на данных объектах;</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данные о планируемых трудовых затратах на его проведение, рассчитанные исходя из численности исполнителей и срока проведения.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4.4. Каждое предложение о включении контрольного (экспертно-аналитического) мероприятия в проект плана работы РЕВИЗИОННОЙ КОМИССИИ должно быть обоснованным в выборе предмета и объектов контрольного (экспертно-аналитического) мероприятия.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lastRenderedPageBreak/>
        <w:t>Указанное положение не распространяется на мероприятия: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проводимые ежегодно в рамках предварительного, и последующего контроля формирования и исполнения местного бюджета;</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предметом которых является проверка выполнения ранее направленных представлений (предписаний) РЕВИЗИОННОЙ КОМИССИИ, исправления замечаний (нарушений) выявленных ранее.</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4.5. Выбор предмета контрольного (экспертно-аналитического) мероприятия должен быть обоснован следующими критериями: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соответствие полномочиям РЕВИЗИОННОЙ КОМИССИИ, установленным Федеральным законом 6-ФЗ;</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актуальность;</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востребованность;</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 объем бюджетных средств (имущества), подлежащих контролю в данной сфере и (или) используемых объектами мероприятия.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4.6. Планирование проведения повторных контрольных мероприятий в отношении одного органа или организации за тот же проверяемый период по одним и тем же основаниям  и по одному и тому же вопросу не допускается.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В случае необходимости проведения в планируемом периоде проверочных мероприятий на одном объекте контроля по нескольким направлениям деятельности РЕВИЗИОННОЙ КОМИССИИ указанные действия могут быть запланированы к проведению в рамках одного комплексного мероприятия.</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4.7. Председатель РЕВИЗИОННОЙ КОМИССИИ рассматривает поступившие предложения и формирует проект плана работы РЕВИЗИОННОЙ КОМИССИИ.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4.8. Сформированный проект плана работы РЕВИЗИОННОЙ КОМИССИИ в срок до 1 декабря текущего года утверждается председателем  РЕВИЗИОННОЙ КОМИССИИ.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r>
    </w:p>
    <w:p w:rsidR="00997B82" w:rsidRDefault="00997B82" w:rsidP="00997B82">
      <w:pPr>
        <w:spacing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5. Внесение изменений в план работы РЕВИЗИОННОЙ КОМИССИИ</w:t>
      </w:r>
    </w:p>
    <w:p w:rsidR="00997B82" w:rsidRDefault="00997B82" w:rsidP="00997B82">
      <w:pPr>
        <w:spacing w:line="240" w:lineRule="auto"/>
        <w:jc w:val="both"/>
        <w:rPr>
          <w:rFonts w:ascii="Times New Roman" w:hAnsi="Times New Roman"/>
          <w:b/>
          <w:sz w:val="28"/>
          <w:szCs w:val="28"/>
        </w:rPr>
      </w:pP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xml:space="preserve">5.1. Внесение изменений (корректировка) в план работы осуществляется в порядке, предусмотренном для их утверждения. </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lastRenderedPageBreak/>
        <w:t>5.2.  Предложения по корректировке плана работы РЕВИЗИОННОЙ КОМИССИИ могут вноситься  в случаях:</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изменения федерального или регионального законодательства, нормативно-правовых (муниципально-правовых) актов органов местного самоуправления района, поселений;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выявления в ходе подготовки или проведения контрольного (экспертно-аналитического) мероприятия существенных обстоятельств, требующих изменения наименования, перечня объектов, сроков проведения мероприятия, состава ответственных исполнителей;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реорганизации, ликвидации, изменения организационно-правовой формы объектов мероприятия;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отвлечения сотрудников, участвующих в проведении запланированного мероприятия на дополнительные мероприятия;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возникновения проблем с формированием состава непосредственных исполнителей мероприятия вследствие организационно-штатных мероприятий, временной нетрудоспособности, увольнения сотрудников, участвующих в проведении мероприятия, и невозможности их замены другими сотрудниками;</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информации (запросов, требований) правоохранительных, надзорных органов;</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обращений (предложений, запросов, ходатайств) Главы муниципального образования, депутатов представительного органа местного самоуправления, граждан (или руководителей, сотрудников муниципальных учреждений или предприятий).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При подготовке предложений об изменении Плана работы необходимо исходить из минимизации его корректировки.</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5.3. Предложения о внесении изменений в план работы РЕВИЗИОННОЙ КОМИССИИ могут включать в себя: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изменения наименования мероприятий;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изменения  количества (или наименования) объектов мероприятия;</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изменения периодов проведения мероприятий;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изменения состава ответственных исполнителей за проведение мероприятий;</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исключения мероприятий из плана;</w:t>
      </w:r>
    </w:p>
    <w:p w:rsidR="00997B82" w:rsidRDefault="00997B82" w:rsidP="00997B82">
      <w:pPr>
        <w:spacing w:line="240" w:lineRule="auto"/>
        <w:ind w:firstLine="426"/>
        <w:jc w:val="both"/>
        <w:rPr>
          <w:rFonts w:ascii="Times New Roman" w:hAnsi="Times New Roman"/>
          <w:sz w:val="28"/>
          <w:szCs w:val="28"/>
        </w:rPr>
      </w:pPr>
      <w:r>
        <w:rPr>
          <w:rFonts w:ascii="Times New Roman" w:hAnsi="Times New Roman"/>
          <w:sz w:val="28"/>
          <w:szCs w:val="28"/>
        </w:rPr>
        <w:t xml:space="preserve">включения дополнительных мероприятий в план. </w:t>
      </w:r>
    </w:p>
    <w:p w:rsidR="00997B82" w:rsidRDefault="00997B82" w:rsidP="00997B82">
      <w:pPr>
        <w:spacing w:line="240" w:lineRule="auto"/>
        <w:ind w:firstLine="284"/>
        <w:jc w:val="both"/>
        <w:rPr>
          <w:rFonts w:ascii="Times New Roman" w:hAnsi="Times New Roman"/>
          <w:sz w:val="28"/>
          <w:szCs w:val="28"/>
        </w:rPr>
      </w:pPr>
      <w:r>
        <w:rPr>
          <w:rFonts w:ascii="Times New Roman" w:hAnsi="Times New Roman"/>
          <w:sz w:val="28"/>
          <w:szCs w:val="28"/>
        </w:rPr>
        <w:lastRenderedPageBreak/>
        <w:tab/>
        <w:t xml:space="preserve">5.4. Актуальная версия плана работы с отметкой, содержащей ссылку на реквизиты приказов председателя РЕВИЗИОННОЙ КОМИССИИ (первоначального и внесшего изменения), размещается на официальном сайте муниципального образования в информационно-телекоммуникационной сети Интернет. </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r>
    </w:p>
    <w:p w:rsidR="00997B82" w:rsidRDefault="00997B82" w:rsidP="00997B82">
      <w:pPr>
        <w:spacing w:line="240" w:lineRule="auto"/>
        <w:ind w:firstLine="708"/>
        <w:jc w:val="both"/>
        <w:rPr>
          <w:rFonts w:ascii="Times New Roman" w:hAnsi="Times New Roman"/>
          <w:b/>
          <w:sz w:val="28"/>
          <w:szCs w:val="28"/>
        </w:rPr>
      </w:pPr>
      <w:r>
        <w:rPr>
          <w:rFonts w:ascii="Times New Roman" w:hAnsi="Times New Roman"/>
          <w:b/>
          <w:sz w:val="28"/>
          <w:szCs w:val="28"/>
        </w:rPr>
        <w:t xml:space="preserve">6. Осуществление контроля </w:t>
      </w: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6.1. Основной задачей контроля исполнения Плана работы РЕВИЗИОННОЙ КОМИССИИ является обеспечение своевременного, полного и качественного выполнения мероприятий (направлений деятельности), включенных в План работы РЕВИЗИОННОЙ КОМИССИИ.</w:t>
      </w:r>
    </w:p>
    <w:p w:rsidR="00997B82" w:rsidRDefault="00997B82" w:rsidP="00997B82">
      <w:pPr>
        <w:spacing w:line="240" w:lineRule="auto"/>
        <w:jc w:val="both"/>
        <w:rPr>
          <w:rFonts w:ascii="Times New Roman" w:hAnsi="Times New Roman"/>
          <w:sz w:val="28"/>
          <w:szCs w:val="28"/>
        </w:rPr>
      </w:pPr>
      <w:r>
        <w:rPr>
          <w:rFonts w:ascii="Times New Roman" w:hAnsi="Times New Roman"/>
          <w:sz w:val="28"/>
          <w:szCs w:val="28"/>
        </w:rPr>
        <w:tab/>
        <w:t>6.2. Контроль исполнения Плана работы РЕВИЗИОННОЙ КОМИССИИ осуществляется председателем РЕВИЗИОННОЙ КОМИССИИ.</w:t>
      </w: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jc w:val="both"/>
        <w:rPr>
          <w:rFonts w:ascii="Times New Roman" w:hAnsi="Times New Roman"/>
          <w:sz w:val="28"/>
          <w:szCs w:val="28"/>
        </w:rPr>
      </w:pPr>
    </w:p>
    <w:p w:rsidR="00997B82" w:rsidRDefault="00997B82" w:rsidP="00997B82">
      <w:pPr>
        <w:spacing w:line="240" w:lineRule="auto"/>
        <w:jc w:val="both"/>
        <w:rPr>
          <w:rFonts w:ascii="Times New Roman" w:hAnsi="Times New Roman"/>
          <w:sz w:val="28"/>
          <w:szCs w:val="28"/>
        </w:rPr>
      </w:pPr>
    </w:p>
    <w:p w:rsidR="00997B82" w:rsidRDefault="00997B82" w:rsidP="00997B82">
      <w:pPr>
        <w:jc w:val="right"/>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Приложение к СОД 1 </w:t>
      </w:r>
    </w:p>
    <w:p w:rsidR="00997B82" w:rsidRDefault="00997B82" w:rsidP="00997B82">
      <w:pPr>
        <w:jc w:val="right"/>
        <w:rPr>
          <w:rFonts w:ascii="Times New Roman" w:hAnsi="Times New Roman"/>
          <w:sz w:val="28"/>
          <w:szCs w:val="28"/>
        </w:rPr>
      </w:pPr>
    </w:p>
    <w:p w:rsidR="00997B82" w:rsidRDefault="00997B82" w:rsidP="00997B82">
      <w:pPr>
        <w:jc w:val="right"/>
        <w:rPr>
          <w:rFonts w:ascii="Times New Roman" w:hAnsi="Times New Roman"/>
          <w:sz w:val="28"/>
          <w:szCs w:val="28"/>
        </w:rPr>
      </w:pPr>
      <w:r>
        <w:rPr>
          <w:rFonts w:ascii="Times New Roman" w:hAnsi="Times New Roman"/>
          <w:sz w:val="28"/>
          <w:szCs w:val="28"/>
        </w:rPr>
        <w:t xml:space="preserve">Рассмотрен </w:t>
      </w:r>
    </w:p>
    <w:p w:rsidR="00997B82" w:rsidRDefault="00997B82" w:rsidP="00997B82">
      <w:pPr>
        <w:jc w:val="right"/>
        <w:rPr>
          <w:rFonts w:ascii="Times New Roman" w:hAnsi="Times New Roman"/>
          <w:sz w:val="28"/>
          <w:szCs w:val="28"/>
        </w:rPr>
      </w:pPr>
      <w:r>
        <w:rPr>
          <w:rFonts w:ascii="Times New Roman" w:hAnsi="Times New Roman"/>
          <w:sz w:val="28"/>
          <w:szCs w:val="28"/>
        </w:rPr>
        <w:t xml:space="preserve">на постоянной  комиссии по налогам, бюджету и собственности </w:t>
      </w:r>
    </w:p>
    <w:p w:rsidR="00997B82" w:rsidRDefault="00997B82" w:rsidP="00997B82">
      <w:pPr>
        <w:jc w:val="right"/>
        <w:rPr>
          <w:rFonts w:ascii="Times New Roman" w:hAnsi="Times New Roman"/>
          <w:sz w:val="28"/>
          <w:szCs w:val="28"/>
        </w:rPr>
      </w:pPr>
      <w:r>
        <w:rPr>
          <w:rFonts w:ascii="Times New Roman" w:hAnsi="Times New Roman"/>
          <w:sz w:val="28"/>
          <w:szCs w:val="28"/>
        </w:rPr>
        <w:t xml:space="preserve">Кежемского районного Совета депутатов </w:t>
      </w:r>
    </w:p>
    <w:p w:rsidR="00997B82" w:rsidRDefault="00997B82" w:rsidP="00997B82">
      <w:pPr>
        <w:jc w:val="right"/>
        <w:rPr>
          <w:rFonts w:ascii="Times New Roman" w:hAnsi="Times New Roman"/>
          <w:sz w:val="28"/>
          <w:szCs w:val="28"/>
        </w:rPr>
      </w:pPr>
      <w:r>
        <w:rPr>
          <w:rFonts w:ascii="Times New Roman" w:hAnsi="Times New Roman"/>
          <w:sz w:val="28"/>
          <w:szCs w:val="28"/>
        </w:rPr>
        <w:t>от  ________  года  (протокол № ___ )</w:t>
      </w:r>
    </w:p>
    <w:p w:rsidR="00997B82" w:rsidRDefault="00997B82" w:rsidP="00997B82">
      <w:pPr>
        <w:jc w:val="right"/>
        <w:rPr>
          <w:rFonts w:ascii="Times New Roman" w:hAnsi="Times New Roman"/>
          <w:sz w:val="28"/>
          <w:szCs w:val="28"/>
        </w:rPr>
      </w:pPr>
    </w:p>
    <w:p w:rsidR="00997B82" w:rsidRDefault="00997B82" w:rsidP="00997B82">
      <w:pPr>
        <w:spacing w:before="450" w:after="0" w:line="240" w:lineRule="auto"/>
        <w:contextualSpacing/>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УТВЕРЖДЕН</w:t>
      </w:r>
    </w:p>
    <w:p w:rsidR="00997B82" w:rsidRDefault="00997B82" w:rsidP="00997B82">
      <w:pPr>
        <w:spacing w:before="450" w:after="0" w:line="240" w:lineRule="auto"/>
        <w:contextualSpacing/>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председателем Ревизионной комиссии Кежемского района</w:t>
      </w:r>
    </w:p>
    <w:p w:rsidR="00997B82" w:rsidRDefault="00997B82" w:rsidP="00997B82">
      <w:pPr>
        <w:spacing w:before="450" w:after="0" w:line="240" w:lineRule="auto"/>
        <w:contextualSpacing/>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приказом № _________  от _________ года </w:t>
      </w:r>
    </w:p>
    <w:p w:rsidR="00997B82" w:rsidRDefault="00997B82" w:rsidP="00997B82">
      <w:pPr>
        <w:spacing w:before="450" w:after="0" w:line="240" w:lineRule="auto"/>
        <w:contextualSpacing/>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997B82" w:rsidRDefault="00997B82" w:rsidP="00997B82">
      <w:pPr>
        <w:spacing w:before="450" w:after="0" w:line="240" w:lineRule="auto"/>
        <w:contextualSpacing/>
        <w:jc w:val="center"/>
        <w:outlineLvl w:val="2"/>
        <w:rPr>
          <w:rFonts w:ascii="Times New Roman" w:eastAsia="Times New Roman" w:hAnsi="Times New Roman"/>
          <w:sz w:val="28"/>
          <w:szCs w:val="28"/>
          <w:lang w:eastAsia="ru-RU"/>
        </w:rPr>
      </w:pPr>
    </w:p>
    <w:p w:rsidR="00997B82" w:rsidRDefault="00997B82" w:rsidP="00997B82">
      <w:pPr>
        <w:spacing w:before="450" w:after="0" w:line="240" w:lineRule="auto"/>
        <w:contextualSpacing/>
        <w:jc w:val="center"/>
        <w:outlineLvl w:val="2"/>
        <w:rPr>
          <w:rFonts w:ascii="Times New Roman" w:eastAsia="Times New Roman" w:hAnsi="Times New Roman"/>
          <w:sz w:val="28"/>
          <w:szCs w:val="28"/>
          <w:lang w:eastAsia="ru-RU"/>
        </w:rPr>
      </w:pPr>
    </w:p>
    <w:p w:rsidR="00997B82" w:rsidRDefault="00997B82" w:rsidP="00997B82">
      <w:pPr>
        <w:spacing w:before="450" w:after="0" w:line="240" w:lineRule="auto"/>
        <w:contextualSpacing/>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 РАБОТЫ</w:t>
      </w:r>
    </w:p>
    <w:p w:rsidR="00997B82" w:rsidRDefault="00997B82" w:rsidP="00997B82">
      <w:pPr>
        <w:spacing w:before="450" w:after="0" w:line="240" w:lineRule="auto"/>
        <w:contextualSpacing/>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Ревизионной комиссии Кежемского района</w:t>
      </w:r>
    </w:p>
    <w:p w:rsidR="00997B82" w:rsidRDefault="00997B82" w:rsidP="00997B82">
      <w:pPr>
        <w:spacing w:before="450" w:after="0" w:line="240" w:lineRule="auto"/>
        <w:contextualSpacing/>
        <w:jc w:val="center"/>
        <w:outlineLvl w:val="2"/>
        <w:rPr>
          <w:rFonts w:ascii="Times New Roman" w:eastAsia="Times New Roman" w:hAnsi="Times New Roman"/>
          <w:b/>
          <w:sz w:val="33"/>
          <w:szCs w:val="33"/>
          <w:lang w:eastAsia="ru-RU"/>
        </w:rPr>
      </w:pPr>
      <w:r>
        <w:rPr>
          <w:rFonts w:ascii="Times New Roman" w:eastAsia="Times New Roman" w:hAnsi="Times New Roman"/>
          <w:b/>
          <w:sz w:val="28"/>
          <w:szCs w:val="28"/>
          <w:lang w:eastAsia="ru-RU"/>
        </w:rPr>
        <w:t>на _________ год</w:t>
      </w:r>
    </w:p>
    <w:p w:rsidR="00997B82" w:rsidRDefault="00997B82" w:rsidP="00997B82">
      <w:pPr>
        <w:rPr>
          <w:sz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8"/>
        <w:gridCol w:w="1702"/>
        <w:gridCol w:w="3687"/>
        <w:gridCol w:w="2694"/>
      </w:tblGrid>
      <w:tr w:rsidR="00997B82" w:rsidTr="00997B82">
        <w:trPr>
          <w:trHeight w:val="873"/>
        </w:trPr>
        <w:tc>
          <w:tcPr>
            <w:tcW w:w="709" w:type="dxa"/>
            <w:tcBorders>
              <w:top w:val="single" w:sz="4" w:space="0" w:color="auto"/>
              <w:left w:val="single" w:sz="4" w:space="0" w:color="auto"/>
              <w:bottom w:val="single" w:sz="4" w:space="0" w:color="auto"/>
              <w:right w:val="single" w:sz="4" w:space="0" w:color="auto"/>
            </w:tcBorders>
            <w:vAlign w:val="center"/>
            <w:hideMark/>
          </w:tcPr>
          <w:p w:rsidR="00997B82" w:rsidRDefault="00997B82">
            <w:pPr>
              <w:spacing w:after="0" w:line="240" w:lineRule="auto"/>
              <w:contextualSpacing/>
              <w:jc w:val="center"/>
              <w:rPr>
                <w:rFonts w:ascii="Times New Roman" w:hAnsi="Times New Roman"/>
                <w:b/>
                <w:sz w:val="28"/>
                <w:szCs w:val="28"/>
              </w:rPr>
            </w:pPr>
            <w:r>
              <w:rPr>
                <w:rFonts w:ascii="Times New Roman" w:hAnsi="Times New Roman"/>
                <w:b/>
                <w:sz w:val="28"/>
                <w:szCs w:val="28"/>
              </w:rPr>
              <w:t>№</w:t>
            </w:r>
          </w:p>
          <w:p w:rsidR="00997B82" w:rsidRDefault="00997B82">
            <w:pPr>
              <w:spacing w:after="0" w:line="240" w:lineRule="auto"/>
              <w:contextualSpacing/>
              <w:jc w:val="center"/>
              <w:rPr>
                <w:rFonts w:ascii="Times New Roman" w:hAnsi="Times New Roman"/>
                <w:b/>
                <w:sz w:val="28"/>
                <w:szCs w:val="28"/>
              </w:rPr>
            </w:pPr>
            <w:r>
              <w:rPr>
                <w:rFonts w:ascii="Times New Roman" w:hAnsi="Times New Roman"/>
                <w:b/>
                <w:sz w:val="28"/>
                <w:szCs w:val="28"/>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997B82" w:rsidRDefault="00997B82">
            <w:pPr>
              <w:spacing w:after="0" w:line="240" w:lineRule="auto"/>
              <w:ind w:left="-75" w:right="-108"/>
              <w:contextualSpacing/>
              <w:jc w:val="center"/>
              <w:rPr>
                <w:rFonts w:ascii="Times New Roman" w:hAnsi="Times New Roman"/>
                <w:b/>
                <w:sz w:val="28"/>
                <w:szCs w:val="28"/>
              </w:rPr>
            </w:pPr>
            <w:r>
              <w:rPr>
                <w:rFonts w:ascii="Times New Roman" w:hAnsi="Times New Roman"/>
                <w:b/>
                <w:sz w:val="28"/>
                <w:szCs w:val="28"/>
              </w:rPr>
              <w:t>Наименование</w:t>
            </w:r>
          </w:p>
          <w:p w:rsidR="00997B82" w:rsidRDefault="00997B82">
            <w:pPr>
              <w:spacing w:after="0" w:line="240" w:lineRule="auto"/>
              <w:ind w:right="-108"/>
              <w:contextualSpacing/>
              <w:jc w:val="center"/>
              <w:rPr>
                <w:rFonts w:ascii="Times New Roman" w:hAnsi="Times New Roman"/>
                <w:b/>
                <w:sz w:val="28"/>
                <w:szCs w:val="28"/>
              </w:rPr>
            </w:pPr>
            <w:r>
              <w:rPr>
                <w:rFonts w:ascii="Times New Roman" w:hAnsi="Times New Roman"/>
                <w:b/>
                <w:sz w:val="28"/>
                <w:szCs w:val="28"/>
              </w:rPr>
              <w:t>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7B82" w:rsidRDefault="00997B82">
            <w:pPr>
              <w:spacing w:after="0" w:line="240" w:lineRule="auto"/>
              <w:contextualSpacing/>
              <w:jc w:val="center"/>
              <w:rPr>
                <w:rFonts w:ascii="Times New Roman" w:hAnsi="Times New Roman"/>
                <w:b/>
                <w:sz w:val="28"/>
                <w:szCs w:val="28"/>
              </w:rPr>
            </w:pPr>
            <w:r>
              <w:rPr>
                <w:rFonts w:ascii="Times New Roman" w:hAnsi="Times New Roman"/>
                <w:b/>
                <w:sz w:val="28"/>
                <w:szCs w:val="28"/>
              </w:rPr>
              <w:t>Период проведения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97B82" w:rsidRDefault="00997B82">
            <w:pPr>
              <w:spacing w:after="0" w:line="240" w:lineRule="auto"/>
              <w:contextualSpacing/>
              <w:jc w:val="center"/>
              <w:rPr>
                <w:rFonts w:ascii="Times New Roman" w:hAnsi="Times New Roman"/>
                <w:b/>
                <w:sz w:val="28"/>
                <w:szCs w:val="28"/>
              </w:rPr>
            </w:pPr>
            <w:r>
              <w:rPr>
                <w:rFonts w:ascii="Times New Roman" w:hAnsi="Times New Roman"/>
                <w:b/>
                <w:sz w:val="28"/>
                <w:szCs w:val="28"/>
              </w:rPr>
              <w:t>Основания для включения мероприятия в план</w:t>
            </w:r>
          </w:p>
        </w:tc>
        <w:tc>
          <w:tcPr>
            <w:tcW w:w="2693" w:type="dxa"/>
            <w:tcBorders>
              <w:top w:val="single" w:sz="4" w:space="0" w:color="auto"/>
              <w:left w:val="single" w:sz="4" w:space="0" w:color="auto"/>
              <w:bottom w:val="single" w:sz="4" w:space="0" w:color="auto"/>
              <w:right w:val="single" w:sz="4" w:space="0" w:color="auto"/>
            </w:tcBorders>
            <w:vAlign w:val="center"/>
            <w:hideMark/>
          </w:tcPr>
          <w:p w:rsidR="00997B82" w:rsidRDefault="00997B82">
            <w:pPr>
              <w:spacing w:after="0" w:line="240" w:lineRule="auto"/>
              <w:contextualSpacing/>
              <w:jc w:val="center"/>
              <w:rPr>
                <w:rFonts w:ascii="Times New Roman" w:hAnsi="Times New Roman"/>
                <w:b/>
                <w:sz w:val="28"/>
                <w:szCs w:val="28"/>
              </w:rPr>
            </w:pPr>
            <w:r>
              <w:rPr>
                <w:rFonts w:ascii="Times New Roman" w:hAnsi="Times New Roman"/>
                <w:b/>
                <w:sz w:val="28"/>
                <w:szCs w:val="28"/>
              </w:rPr>
              <w:t>Ответственные исполнители</w:t>
            </w:r>
          </w:p>
        </w:tc>
      </w:tr>
      <w:tr w:rsidR="00997B82" w:rsidTr="00997B82">
        <w:trPr>
          <w:trHeight w:val="378"/>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Организационная работа</w:t>
            </w:r>
          </w:p>
        </w:tc>
      </w:tr>
      <w:tr w:rsidR="00997B82" w:rsidTr="00997B82">
        <w:trPr>
          <w:trHeight w:val="425"/>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307"/>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Контрольные мероприятия</w:t>
            </w:r>
          </w:p>
        </w:tc>
      </w:tr>
      <w:tr w:rsidR="00997B82" w:rsidTr="00997B82">
        <w:trPr>
          <w:trHeight w:val="256"/>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481"/>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Реализация материалов контрольных и экспертно-аналитических мероприятий</w:t>
            </w:r>
          </w:p>
        </w:tc>
      </w:tr>
      <w:tr w:rsidR="00997B82" w:rsidTr="00997B82">
        <w:trPr>
          <w:trHeight w:val="337"/>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314"/>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Методологическое обеспечение деятельности</w:t>
            </w:r>
          </w:p>
        </w:tc>
      </w:tr>
      <w:tr w:rsidR="00997B82" w:rsidTr="00997B82">
        <w:trPr>
          <w:trHeight w:val="364"/>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285"/>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Экспертно-аналитическая деятельность</w:t>
            </w:r>
          </w:p>
        </w:tc>
      </w:tr>
      <w:tr w:rsidR="00997B82" w:rsidTr="00997B82">
        <w:trPr>
          <w:trHeight w:val="373"/>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399"/>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Материально-техническое обеспечение</w:t>
            </w:r>
          </w:p>
        </w:tc>
      </w:tr>
      <w:tr w:rsidR="00997B82" w:rsidTr="00997B82">
        <w:trPr>
          <w:trHeight w:val="427"/>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286"/>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Противодействие коррупции</w:t>
            </w:r>
          </w:p>
        </w:tc>
      </w:tr>
      <w:tr w:rsidR="00997B82" w:rsidTr="00997B82">
        <w:trPr>
          <w:trHeight w:val="367"/>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367"/>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Информационная и иная деятельность</w:t>
            </w:r>
          </w:p>
        </w:tc>
      </w:tr>
      <w:tr w:rsidR="00997B82" w:rsidTr="00997B82">
        <w:trPr>
          <w:trHeight w:val="367"/>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r w:rsidR="00997B82" w:rsidTr="00997B82">
        <w:trPr>
          <w:trHeight w:val="297"/>
        </w:trPr>
        <w:tc>
          <w:tcPr>
            <w:tcW w:w="10916" w:type="dxa"/>
            <w:gridSpan w:val="5"/>
            <w:tcBorders>
              <w:top w:val="single" w:sz="4" w:space="0" w:color="auto"/>
              <w:left w:val="single" w:sz="4" w:space="0" w:color="auto"/>
              <w:bottom w:val="single" w:sz="4" w:space="0" w:color="auto"/>
              <w:right w:val="single" w:sz="4" w:space="0" w:color="auto"/>
            </w:tcBorders>
            <w:hideMark/>
          </w:tcPr>
          <w:p w:rsidR="00997B82" w:rsidRDefault="00997B82" w:rsidP="009B7D27">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Взаимодействие с другими органами</w:t>
            </w:r>
          </w:p>
        </w:tc>
      </w:tr>
      <w:tr w:rsidR="00997B82" w:rsidTr="00997B82">
        <w:trPr>
          <w:trHeight w:val="410"/>
        </w:trPr>
        <w:tc>
          <w:tcPr>
            <w:tcW w:w="709" w:type="dxa"/>
            <w:tcBorders>
              <w:top w:val="single" w:sz="4" w:space="0" w:color="auto"/>
              <w:left w:val="single" w:sz="4" w:space="0" w:color="auto"/>
              <w:bottom w:val="single" w:sz="4" w:space="0" w:color="auto"/>
              <w:right w:val="single" w:sz="4" w:space="0" w:color="auto"/>
            </w:tcBorders>
            <w:hideMark/>
          </w:tcPr>
          <w:p w:rsidR="00997B82" w:rsidRDefault="00997B82">
            <w:pPr>
              <w:spacing w:after="0" w:line="240" w:lineRule="auto"/>
              <w:contextualSpacing/>
              <w:jc w:val="both"/>
              <w:rPr>
                <w:rFonts w:ascii="Times New Roman" w:hAnsi="Times New Roman"/>
                <w:sz w:val="28"/>
                <w:szCs w:val="28"/>
              </w:rPr>
            </w:pPr>
            <w:r>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997B82" w:rsidRDefault="00997B82">
            <w:pPr>
              <w:spacing w:after="0" w:line="240" w:lineRule="auto"/>
              <w:contextualSpacing/>
              <w:jc w:val="both"/>
              <w:rPr>
                <w:rFonts w:ascii="Times New Roman" w:hAnsi="Times New Roman"/>
                <w:b/>
                <w:sz w:val="28"/>
                <w:szCs w:val="28"/>
              </w:rPr>
            </w:pPr>
          </w:p>
        </w:tc>
      </w:tr>
    </w:tbl>
    <w:p w:rsidR="00997B82" w:rsidRDefault="00997B82" w:rsidP="00997B82">
      <w:pPr>
        <w:tabs>
          <w:tab w:val="left" w:pos="7773"/>
        </w:tabs>
        <w:spacing w:after="0"/>
        <w:contextualSpacing/>
        <w:jc w:val="both"/>
        <w:rPr>
          <w:rFonts w:ascii="Times New Roman" w:hAnsi="Times New Roman"/>
          <w:sz w:val="28"/>
          <w:szCs w:val="28"/>
        </w:rPr>
      </w:pPr>
    </w:p>
    <w:p w:rsidR="004223B8" w:rsidRDefault="004223B8">
      <w:bookmarkStart w:id="3" w:name="_GoBack"/>
      <w:bookmarkEnd w:id="3"/>
    </w:p>
    <w:sectPr w:rsidR="00422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1212"/>
    <w:multiLevelType w:val="hybridMultilevel"/>
    <w:tmpl w:val="33DCD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8274EA"/>
    <w:multiLevelType w:val="multilevel"/>
    <w:tmpl w:val="BBFC626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4C"/>
    <w:rsid w:val="004223B8"/>
    <w:rsid w:val="00812E4C"/>
    <w:rsid w:val="0099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08192-74FF-45E5-BEB3-35863CC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B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97B82"/>
    <w:pPr>
      <w:spacing w:after="120"/>
    </w:pPr>
  </w:style>
  <w:style w:type="character" w:customStyle="1" w:styleId="a4">
    <w:name w:val="Основной текст Знак"/>
    <w:basedOn w:val="a0"/>
    <w:link w:val="a3"/>
    <w:uiPriority w:val="99"/>
    <w:semiHidden/>
    <w:rsid w:val="00997B82"/>
    <w:rPr>
      <w:rFonts w:ascii="Calibri" w:eastAsia="Calibri" w:hAnsi="Calibri" w:cs="Times New Roman"/>
    </w:rPr>
  </w:style>
  <w:style w:type="paragraph" w:styleId="1">
    <w:name w:val="toc 1"/>
    <w:basedOn w:val="a"/>
    <w:next w:val="a3"/>
    <w:autoRedefine/>
    <w:uiPriority w:val="39"/>
    <w:semiHidden/>
    <w:unhideWhenUsed/>
    <w:qFormat/>
    <w:rsid w:val="00997B82"/>
    <w:pPr>
      <w:spacing w:before="120" w:after="120"/>
    </w:pPr>
    <w:rPr>
      <w:rFonts w:ascii="Times New Roman" w:hAnsi="Times New Roman" w:cs="Calibri"/>
      <w:bCs/>
      <w:caps/>
      <w:color w:val="000000"/>
      <w:sz w:val="28"/>
      <w:szCs w:val="28"/>
      <w:lang w:eastAsia="ru-RU"/>
    </w:rPr>
  </w:style>
  <w:style w:type="paragraph" w:styleId="2">
    <w:name w:val="toc 2"/>
    <w:basedOn w:val="a"/>
    <w:next w:val="a"/>
    <w:autoRedefine/>
    <w:uiPriority w:val="39"/>
    <w:semiHidden/>
    <w:unhideWhenUsed/>
    <w:qFormat/>
    <w:rsid w:val="00997B82"/>
    <w:pPr>
      <w:spacing w:after="0"/>
      <w:ind w:left="220"/>
    </w:pPr>
    <w:rPr>
      <w:rFonts w:cs="Calibri"/>
      <w:smallCaps/>
      <w:sz w:val="20"/>
      <w:szCs w:val="20"/>
    </w:rPr>
  </w:style>
  <w:style w:type="paragraph" w:styleId="3">
    <w:name w:val="toc 3"/>
    <w:basedOn w:val="a"/>
    <w:next w:val="a"/>
    <w:autoRedefine/>
    <w:uiPriority w:val="39"/>
    <w:semiHidden/>
    <w:unhideWhenUsed/>
    <w:qFormat/>
    <w:rsid w:val="00997B82"/>
    <w:pPr>
      <w:spacing w:after="0"/>
      <w:ind w:left="440"/>
    </w:pPr>
    <w:rPr>
      <w:rFonts w:cs="Calibri"/>
      <w:i/>
      <w:iCs/>
      <w:sz w:val="20"/>
      <w:szCs w:val="20"/>
    </w:rPr>
  </w:style>
  <w:style w:type="paragraph" w:styleId="a5">
    <w:name w:val="Body Text Indent"/>
    <w:basedOn w:val="a"/>
    <w:link w:val="a6"/>
    <w:semiHidden/>
    <w:unhideWhenUsed/>
    <w:rsid w:val="00997B82"/>
    <w:pPr>
      <w:spacing w:after="0" w:line="360" w:lineRule="auto"/>
      <w:ind w:firstLine="1134"/>
      <w:jc w:val="both"/>
    </w:pPr>
    <w:rPr>
      <w:rFonts w:ascii="Times New Roman" w:eastAsia="Times New Roman" w:hAnsi="Times New Roman"/>
      <w:sz w:val="28"/>
      <w:szCs w:val="24"/>
      <w:lang w:eastAsia="ru-RU"/>
    </w:rPr>
  </w:style>
  <w:style w:type="character" w:customStyle="1" w:styleId="a6">
    <w:name w:val="Основной текст с отступом Знак"/>
    <w:basedOn w:val="a0"/>
    <w:link w:val="a5"/>
    <w:semiHidden/>
    <w:rsid w:val="00997B82"/>
    <w:rPr>
      <w:rFonts w:ascii="Times New Roman" w:eastAsia="Times New Roman" w:hAnsi="Times New Roman" w:cs="Times New Roman"/>
      <w:sz w:val="28"/>
      <w:szCs w:val="24"/>
      <w:lang w:eastAsia="ru-RU"/>
    </w:rPr>
  </w:style>
  <w:style w:type="paragraph" w:styleId="a7">
    <w:name w:val="List Paragraph"/>
    <w:basedOn w:val="a"/>
    <w:uiPriority w:val="34"/>
    <w:qFormat/>
    <w:rsid w:val="0099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2680</Words>
  <Characters>15282</Characters>
  <Application>Microsoft Office Word</Application>
  <DocSecurity>0</DocSecurity>
  <Lines>127</Lines>
  <Paragraphs>35</Paragraphs>
  <ScaleCrop>false</ScaleCrop>
  <Company>SPecialiST RePack</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2020-03-17T08:03:00Z</dcterms:created>
  <dcterms:modified xsi:type="dcterms:W3CDTF">2020-03-17T08:03:00Z</dcterms:modified>
</cp:coreProperties>
</file>