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E81374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во 2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564A6E">
        <w:rPr>
          <w:rFonts w:ascii="Times New Roman" w:hAnsi="Times New Roman"/>
          <w:b/>
          <w:bCs/>
          <w:kern w:val="36"/>
          <w:sz w:val="28"/>
          <w:szCs w:val="28"/>
        </w:rPr>
        <w:t>2020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E81374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564A6E">
        <w:rPr>
          <w:rFonts w:ascii="Times New Roman" w:hAnsi="Times New Roman"/>
          <w:sz w:val="28"/>
          <w:szCs w:val="28"/>
        </w:rPr>
        <w:t xml:space="preserve"> 2020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EE1E95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22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и организаций, из них 4</w:t>
      </w:r>
      <w:r w:rsidR="00E22E2C" w:rsidRPr="003A2E55">
        <w:rPr>
          <w:rFonts w:ascii="Times New Roman" w:hAnsi="Times New Roman"/>
          <w:sz w:val="28"/>
          <w:szCs w:val="28"/>
        </w:rPr>
        <w:t xml:space="preserve"> 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E81374">
        <w:rPr>
          <w:rFonts w:ascii="Times New Roman" w:hAnsi="Times New Roman"/>
          <w:sz w:val="28"/>
          <w:szCs w:val="28"/>
        </w:rPr>
        <w:t>о 2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564A6E">
        <w:rPr>
          <w:rFonts w:ascii="Times New Roman" w:hAnsi="Times New Roman"/>
          <w:sz w:val="28"/>
          <w:szCs w:val="28"/>
        </w:rPr>
        <w:t xml:space="preserve"> 2020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945962">
        <w:rPr>
          <w:rFonts w:ascii="Times New Roman" w:hAnsi="Times New Roman"/>
          <w:sz w:val="24"/>
          <w:szCs w:val="24"/>
        </w:rPr>
        <w:t xml:space="preserve"> </w:t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0D3682">
        <w:rPr>
          <w:sz w:val="28"/>
          <w:szCs w:val="28"/>
        </w:rPr>
        <w:t>8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784FDB">
        <w:rPr>
          <w:sz w:val="28"/>
          <w:szCs w:val="28"/>
        </w:rPr>
        <w:t>5</w:t>
      </w:r>
      <w:r w:rsidR="00EA20A2">
        <w:rPr>
          <w:sz w:val="28"/>
          <w:szCs w:val="28"/>
        </w:rPr>
        <w:t xml:space="preserve"> – 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6304A4">
        <w:rPr>
          <w:rStyle w:val="a4"/>
          <w:sz w:val="28"/>
          <w:szCs w:val="28"/>
        </w:rPr>
        <w:t>коммунального хозяйства</w:t>
      </w:r>
      <w:r w:rsidRPr="006304A4">
        <w:rPr>
          <w:sz w:val="28"/>
          <w:szCs w:val="28"/>
        </w:rPr>
        <w:t>, по вопросам обеспечения жильем граждан –</w:t>
      </w:r>
      <w:r w:rsidR="00B533FE">
        <w:rPr>
          <w:sz w:val="28"/>
          <w:szCs w:val="28"/>
        </w:rPr>
        <w:t xml:space="preserve"> </w:t>
      </w:r>
      <w:r w:rsidR="00784FDB">
        <w:rPr>
          <w:sz w:val="28"/>
          <w:szCs w:val="28"/>
        </w:rPr>
        <w:t>3</w:t>
      </w:r>
      <w:r w:rsidR="000D3682">
        <w:rPr>
          <w:sz w:val="28"/>
          <w:szCs w:val="28"/>
        </w:rPr>
        <w:t xml:space="preserve"> обращения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784FDB">
        <w:rPr>
          <w:sz w:val="28"/>
          <w:szCs w:val="28"/>
        </w:rPr>
        <w:t>6 обращений</w:t>
      </w:r>
      <w:r w:rsidRPr="006B2F0A">
        <w:rPr>
          <w:sz w:val="28"/>
          <w:szCs w:val="28"/>
        </w:rPr>
        <w:t xml:space="preserve">, из них: по вопросам строительства – </w:t>
      </w:r>
      <w:r w:rsidR="00784FDB">
        <w:rPr>
          <w:sz w:val="28"/>
          <w:szCs w:val="28"/>
        </w:rPr>
        <w:t>1</w:t>
      </w:r>
      <w:r w:rsidR="000D3682">
        <w:rPr>
          <w:sz w:val="28"/>
          <w:szCs w:val="28"/>
        </w:rPr>
        <w:t>, транспорта – 1, сельского хозяйства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784FDB">
        <w:rPr>
          <w:sz w:val="28"/>
          <w:szCs w:val="28"/>
        </w:rPr>
        <w:t>1 обращение</w:t>
      </w:r>
      <w:r w:rsidRPr="006304A4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3F7F25">
        <w:rPr>
          <w:sz w:val="28"/>
          <w:szCs w:val="28"/>
        </w:rPr>
        <w:t>обращений</w:t>
      </w:r>
      <w:r w:rsidR="000D3682" w:rsidRPr="000D3682">
        <w:rPr>
          <w:sz w:val="28"/>
          <w:szCs w:val="28"/>
        </w:rPr>
        <w:t xml:space="preserve"> </w:t>
      </w:r>
      <w:r w:rsidR="000D3682">
        <w:rPr>
          <w:sz w:val="28"/>
          <w:szCs w:val="28"/>
        </w:rPr>
        <w:t xml:space="preserve">не </w:t>
      </w:r>
      <w:r w:rsidR="000D3682" w:rsidRPr="006B2F0A">
        <w:rPr>
          <w:sz w:val="28"/>
          <w:szCs w:val="28"/>
        </w:rPr>
        <w:t>поступило</w:t>
      </w:r>
      <w:r w:rsidRPr="006B2F0A">
        <w:rPr>
          <w:sz w:val="28"/>
          <w:szCs w:val="28"/>
        </w:rPr>
        <w:t>, из них п</w:t>
      </w:r>
      <w:r w:rsidR="006B2F0A" w:rsidRPr="006B2F0A">
        <w:rPr>
          <w:sz w:val="28"/>
          <w:szCs w:val="28"/>
        </w:rPr>
        <w:t xml:space="preserve">о вопросам здравоохранения – </w:t>
      </w:r>
      <w:r w:rsidR="000D3682">
        <w:rPr>
          <w:sz w:val="28"/>
          <w:szCs w:val="28"/>
        </w:rPr>
        <w:t>0</w:t>
      </w:r>
      <w:r w:rsidRPr="006B2F0A">
        <w:rPr>
          <w:sz w:val="28"/>
          <w:szCs w:val="28"/>
        </w:rPr>
        <w:t xml:space="preserve">. 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5C0BD6" w:rsidRPr="005C0BD6">
        <w:rPr>
          <w:rStyle w:val="a4"/>
          <w:b w:val="0"/>
          <w:sz w:val="28"/>
          <w:szCs w:val="28"/>
        </w:rPr>
        <w:t>поступило</w:t>
      </w:r>
      <w:r w:rsidR="00C56B13">
        <w:rPr>
          <w:rStyle w:val="a4"/>
          <w:b w:val="0"/>
          <w:sz w:val="28"/>
          <w:szCs w:val="28"/>
        </w:rPr>
        <w:t xml:space="preserve"> </w:t>
      </w:r>
      <w:r w:rsidR="000D3682">
        <w:rPr>
          <w:rStyle w:val="a4"/>
          <w:b w:val="0"/>
          <w:sz w:val="28"/>
          <w:szCs w:val="28"/>
        </w:rPr>
        <w:t>2</w:t>
      </w:r>
      <w:r w:rsidR="00C56B13">
        <w:rPr>
          <w:rStyle w:val="a4"/>
          <w:b w:val="0"/>
          <w:sz w:val="28"/>
          <w:szCs w:val="28"/>
        </w:rPr>
        <w:t xml:space="preserve"> обращени</w:t>
      </w:r>
      <w:r w:rsidR="000D3682">
        <w:rPr>
          <w:rStyle w:val="a4"/>
          <w:b w:val="0"/>
          <w:sz w:val="28"/>
          <w:szCs w:val="28"/>
        </w:rPr>
        <w:t>я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7A6AAD">
        <w:rPr>
          <w:sz w:val="28"/>
          <w:szCs w:val="28"/>
        </w:rPr>
        <w:t>3</w:t>
      </w:r>
      <w:r w:rsidR="00B533FE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784FDB">
        <w:rPr>
          <w:sz w:val="28"/>
          <w:szCs w:val="28"/>
        </w:rPr>
        <w:t>2 обращения</w:t>
      </w:r>
      <w:r w:rsidRPr="006B2F0A">
        <w:rPr>
          <w:sz w:val="28"/>
          <w:szCs w:val="28"/>
        </w:rPr>
        <w:t xml:space="preserve">, из них </w:t>
      </w:r>
      <w:r w:rsidR="00784FDB">
        <w:rPr>
          <w:sz w:val="28"/>
          <w:szCs w:val="28"/>
        </w:rPr>
        <w:t>2</w:t>
      </w:r>
      <w:r w:rsidR="00445463">
        <w:rPr>
          <w:sz w:val="28"/>
          <w:szCs w:val="28"/>
        </w:rPr>
        <w:t xml:space="preserve"> – вопрос</w:t>
      </w:r>
      <w:r w:rsidR="00784FDB">
        <w:rPr>
          <w:sz w:val="28"/>
          <w:szCs w:val="28"/>
        </w:rPr>
        <w:t>а</w:t>
      </w:r>
      <w:r w:rsidRPr="006B2F0A">
        <w:rPr>
          <w:sz w:val="28"/>
          <w:szCs w:val="28"/>
        </w:rPr>
        <w:t xml:space="preserve"> 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E81374">
        <w:rPr>
          <w:rFonts w:ascii="Times New Roman" w:hAnsi="Times New Roman"/>
          <w:sz w:val="28"/>
          <w:szCs w:val="28"/>
        </w:rPr>
        <w:t>во 2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564A6E">
        <w:rPr>
          <w:rFonts w:ascii="Times New Roman" w:hAnsi="Times New Roman"/>
          <w:sz w:val="28"/>
          <w:szCs w:val="28"/>
        </w:rPr>
        <w:t xml:space="preserve"> 2020</w:t>
      </w:r>
      <w:r w:rsidRPr="003A2E55">
        <w:rPr>
          <w:rFonts w:ascii="Times New Roman" w:hAnsi="Times New Roman"/>
          <w:sz w:val="28"/>
          <w:szCs w:val="28"/>
        </w:rPr>
        <w:t xml:space="preserve"> года 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18A7" w:rsidRPr="007A6AAD" w:rsidRDefault="00E81374" w:rsidP="00564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 w:rsidR="003A2E55" w:rsidRPr="003C63D6">
        <w:rPr>
          <w:rFonts w:ascii="Times New Roman" w:hAnsi="Times New Roman"/>
          <w:sz w:val="28"/>
          <w:szCs w:val="28"/>
        </w:rPr>
        <w:t xml:space="preserve"> квар</w:t>
      </w:r>
      <w:r w:rsidR="00564A6E">
        <w:rPr>
          <w:rFonts w:ascii="Times New Roman" w:hAnsi="Times New Roman"/>
          <w:sz w:val="28"/>
          <w:szCs w:val="28"/>
        </w:rPr>
        <w:t>тале 2020</w:t>
      </w:r>
      <w:r w:rsidR="003A2E55" w:rsidRPr="003C63D6">
        <w:rPr>
          <w:rFonts w:ascii="Times New Roman" w:hAnsi="Times New Roman"/>
          <w:sz w:val="28"/>
          <w:szCs w:val="28"/>
        </w:rPr>
        <w:t xml:space="preserve"> Главой </w:t>
      </w:r>
      <w:proofErr w:type="spellStart"/>
      <w:r w:rsidR="003A2E55"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3A2E55" w:rsidRPr="003C63D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личный прием граждан не проводился.</w:t>
      </w:r>
    </w:p>
    <w:sectPr w:rsidR="00C618A7" w:rsidRPr="007A6AAD" w:rsidSect="0073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D3682"/>
    <w:rsid w:val="00101006"/>
    <w:rsid w:val="00114923"/>
    <w:rsid w:val="0016334C"/>
    <w:rsid w:val="001A3A54"/>
    <w:rsid w:val="001C138C"/>
    <w:rsid w:val="001D0E82"/>
    <w:rsid w:val="00293ED8"/>
    <w:rsid w:val="002C0375"/>
    <w:rsid w:val="00340660"/>
    <w:rsid w:val="003A2E55"/>
    <w:rsid w:val="003C63D6"/>
    <w:rsid w:val="003F7F25"/>
    <w:rsid w:val="004215E1"/>
    <w:rsid w:val="00421C1D"/>
    <w:rsid w:val="00445463"/>
    <w:rsid w:val="004B6E8D"/>
    <w:rsid w:val="004D1B4E"/>
    <w:rsid w:val="004F6789"/>
    <w:rsid w:val="00531C1A"/>
    <w:rsid w:val="005369FE"/>
    <w:rsid w:val="00537498"/>
    <w:rsid w:val="00541829"/>
    <w:rsid w:val="00564A6E"/>
    <w:rsid w:val="005C0BD6"/>
    <w:rsid w:val="006304A4"/>
    <w:rsid w:val="006B2F0A"/>
    <w:rsid w:val="006C31C2"/>
    <w:rsid w:val="006E1DE7"/>
    <w:rsid w:val="007364BA"/>
    <w:rsid w:val="007652A3"/>
    <w:rsid w:val="00784FDB"/>
    <w:rsid w:val="007A6AAD"/>
    <w:rsid w:val="0082274C"/>
    <w:rsid w:val="008D7323"/>
    <w:rsid w:val="008E76F5"/>
    <w:rsid w:val="00945962"/>
    <w:rsid w:val="00A22EB9"/>
    <w:rsid w:val="00A34F7C"/>
    <w:rsid w:val="00A53B20"/>
    <w:rsid w:val="00AC370C"/>
    <w:rsid w:val="00B533FE"/>
    <w:rsid w:val="00BA03CA"/>
    <w:rsid w:val="00C56B13"/>
    <w:rsid w:val="00C618A7"/>
    <w:rsid w:val="00D70FF9"/>
    <w:rsid w:val="00D94082"/>
    <w:rsid w:val="00DA1F3F"/>
    <w:rsid w:val="00DC50C1"/>
    <w:rsid w:val="00E10B00"/>
    <w:rsid w:val="00E22E2C"/>
    <w:rsid w:val="00E81374"/>
    <w:rsid w:val="00EA20A2"/>
    <w:rsid w:val="00EA2DE6"/>
    <w:rsid w:val="00EA5744"/>
    <w:rsid w:val="00EE11B3"/>
    <w:rsid w:val="00EE1E95"/>
    <w:rsid w:val="00F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обращений поступивших во</a:t>
            </a:r>
            <a:r>
              <a:rPr lang="ru-RU" baseline="0"/>
              <a:t> 2</a:t>
            </a:r>
            <a:r>
              <a:rPr lang="ru-RU"/>
              <a:t> квартале 2020 года</a:t>
            </a:r>
          </a:p>
        </c:rich>
      </c:tx>
      <c:layout>
        <c:manualLayout>
          <c:xMode val="edge"/>
          <c:yMode val="edge"/>
          <c:x val="0.10714285714285714"/>
          <c:y val="2.0710059171597614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9.9025899274552673E-2"/>
          <c:y val="0.28476953274823424"/>
          <c:w val="0.45616883116883161"/>
          <c:h val="0.5177514792899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 квартал 2020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0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-3.0822439061146071E-2"/>
                  <c:y val="-0.12237168061728673"/>
                </c:manualLayout>
              </c:layout>
              <c:showVal val="1"/>
            </c:dLbl>
            <c:dLbl>
              <c:idx val="6"/>
              <c:layout>
                <c:manualLayout>
                  <c:x val="4.0365695914804905E-2"/>
                  <c:y val="-0.10401040844106521"/>
                </c:manualLayout>
              </c:layout>
              <c:showVal val="1"/>
            </c:dLbl>
            <c:dLbl>
              <c:idx val="7"/>
              <c:layout>
                <c:manualLayout>
                  <c:x val="3.9612369028034174E-2"/>
                  <c:y val="-9.3783663861501554E-2"/>
                </c:manualLayout>
              </c:layout>
              <c:showVal val="1"/>
            </c:dLbl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от Депутата Государственной Думы Жириновского В.В.</c:v>
                </c:pt>
                <c:pt idx="3">
                  <c:v>из Министерства здравоохранения Красноярског окрая</c:v>
                </c:pt>
                <c:pt idx="4">
                  <c:v>из Службы строительного надзора и жилищного контроля Красноярского края</c:v>
                </c:pt>
                <c:pt idx="5">
                  <c:v>от Имбинского Совета депутатов Кежемского района</c:v>
                </c:pt>
                <c:pt idx="6">
                  <c:v>из Администрации города Кодинск</c:v>
                </c:pt>
                <c:pt idx="7">
                  <c:v>Администрация Имбинского сельсовета Кежемского района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от Депутата Государственной Думы Жириновского В.В.</c:v>
                </c:pt>
                <c:pt idx="3">
                  <c:v>из Министерства здравоохранения Красноярског окрая</c:v>
                </c:pt>
                <c:pt idx="4">
                  <c:v>из Службы строительного надзора и жилищного контроля Красноярского края</c:v>
                </c:pt>
                <c:pt idx="5">
                  <c:v>от Имбинского Совета депутатов Кежемского района</c:v>
                </c:pt>
                <c:pt idx="6">
                  <c:v>из Администрации города Кодинск</c:v>
                </c:pt>
                <c:pt idx="7">
                  <c:v>Администрация Имбинского сельсовета Кежемского района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от Депутата Государственной Думы Жириновского В.В.</c:v>
                </c:pt>
                <c:pt idx="3">
                  <c:v>из Министерства здравоохранения Красноярског окрая</c:v>
                </c:pt>
                <c:pt idx="4">
                  <c:v>из Службы строительного надзора и жилищного контроля Красноярского края</c:v>
                </c:pt>
                <c:pt idx="5">
                  <c:v>от Имбинского Совета депутатов Кежемского района</c:v>
                </c:pt>
                <c:pt idx="6">
                  <c:v>из Администрации города Кодинск</c:v>
                </c:pt>
                <c:pt idx="7">
                  <c:v>Администрация Имбинского сельсовета Кежемского района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011423811258125"/>
          <c:y val="0.12449217486782647"/>
          <c:w val="0.37012987012987125"/>
          <c:h val="0.87550782513217362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318E-2"/>
          <c:w val="0.59119496855345921"/>
          <c:h val="0.889261744966441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90180992"/>
        <c:axId val="90199168"/>
        <c:axId val="0"/>
      </c:bar3DChart>
      <c:catAx>
        <c:axId val="90180992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199168"/>
        <c:crosses val="autoZero"/>
        <c:auto val="1"/>
        <c:lblAlgn val="ctr"/>
        <c:lblOffset val="100"/>
        <c:tickLblSkip val="1"/>
        <c:tickMarkSkip val="1"/>
      </c:catAx>
      <c:valAx>
        <c:axId val="90199168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180992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29"/>
          <c:y val="0.11073825503355712"/>
          <c:w val="0.33490566037735947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742A-626D-49E9-B196-5C7ACD1B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Брюханова Татьяна Сергеевна</cp:lastModifiedBy>
  <cp:revision>10</cp:revision>
  <dcterms:created xsi:type="dcterms:W3CDTF">2020-01-09T05:03:00Z</dcterms:created>
  <dcterms:modified xsi:type="dcterms:W3CDTF">2020-08-05T05:42:00Z</dcterms:modified>
</cp:coreProperties>
</file>