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AA" w:rsidRDefault="001B50AA" w:rsidP="00D42340">
      <w:pPr>
        <w:spacing w:line="240" w:lineRule="atLeast"/>
        <w:jc w:val="both"/>
        <w:rPr>
          <w:rFonts w:ascii="Times New Roman" w:hAnsi="Times New Roman" w:cs="Times New Roman"/>
        </w:rPr>
      </w:pPr>
    </w:p>
    <w:p w:rsidR="00D85920" w:rsidRPr="00BF0A2B" w:rsidRDefault="00D85920" w:rsidP="00D42340">
      <w:pPr>
        <w:spacing w:line="240" w:lineRule="atLeast"/>
        <w:jc w:val="both"/>
        <w:rPr>
          <w:rFonts w:ascii="Times New Roman" w:hAnsi="Times New Roman" w:cs="Times New Roman"/>
        </w:rPr>
      </w:pPr>
      <w:bookmarkStart w:id="0" w:name="_GoBack"/>
      <w:bookmarkEnd w:id="0"/>
      <w:r w:rsidRPr="00BF0A2B">
        <w:rPr>
          <w:rFonts w:ascii="Times New Roman" w:hAnsi="Times New Roman" w:cs="Times New Roman"/>
        </w:rPr>
        <w:t> </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b/>
          <w:bCs/>
        </w:rPr>
        <w:t>О рекомендациях по приобретению мебели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Покупка мебели процесс не только достаточно длительный и кропотливый, но и дорогостоящий. По статистике, расходы на покупку мебели занимают третье место среди расходов среднестатистической семьи, после расходов на недвижимость и автотранспорт. Учитывая значимость расходов на приобретаемую мебель, специфику законодательства в области защиты прав потребителей и особенности ведения бизнеса многими крупными и мелкими компаниями, необходимо изучить некоторые правила покупки мебели и предостеречь потенциальных покупателей мебели от возможных ошибок.</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Реализация мебели регламентируется Законом Российской Федерации от 07 февраля 1992 г. № 2300-I «О защите прав потребителей», Правилами продажи отдельных видов товаров, утвержденными Постановлением Правительства Российской Федерации от 19.01.1998 № 55, Техническим регламентом Таможенного союза ТР ТС 025/2012 «О безопасности мебельной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Информация в обязательном порядке должна содержать:</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товара;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дату изготовления;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сведения об основных потребительских свойствах товара;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правила и условия эффективного и безопасного использования товара;           </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гарантийный срок, если он установлен для конкретного товара;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единый знак обращения продукции на рынке государств – членов Таможенного союза;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Для мебели, поставляемой в разобранном виде, маркировочный ярлык с необходимой информацией должен вкладываться в упаковку вместе с инструкцией по сборке.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w:t>
      </w:r>
      <w:r w:rsidRPr="00BF0A2B">
        <w:rPr>
          <w:rFonts w:ascii="Times New Roman" w:hAnsi="Times New Roman" w:cs="Times New Roman"/>
        </w:rPr>
        <w:lastRenderedPageBreak/>
        <w:t>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Кроме вышеперечисленного информация о мебели должна содержать сведения: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 функциональном назначении;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 материалах, из которых изготовлена мебель и которые использованы при ее отделке;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 способах, сроках, условиях доставки и передачи товара покупателю.</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Сборка и доставка мебели осуществляются за отдельную плату, если иное не установлено договором.</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b/>
          <w:bCs/>
        </w:rPr>
        <w:t>Возврат качественной мебели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Не подлежат возврату кухонные, столовые или спальные гарнитуры, наборы для ванной комнаты, шкафы-купе, стенки и других комплектов, а также мебель, изготовленная на заказ, если в ней нет недостатков и дефектов, брака. Мебель входит в перечень непродовольственных товаров надлежащего качества, не подлежащих возврату или обмену на аналогичный товар других размеров, форм, габаритов, фасонов, расцветки или комплектации.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А вот отдельные предметы обстановки, к примеру, диван, стол, шкаф можно вернуть на основании ст. 25 Закона Российской Федерации от 07 февраля 1992 г. № 2300-I «О защите прав потребителей».</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Если исполнитель нарушил сроки выполнения работы (оказания услуги),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назначить исполнителю новый срок;</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потребовать уменьшения цены за выполнение работы (оказание услуги);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отказаться от исполнения заключенного договора.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разумные сроки, установленные требованиями потребителя.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b/>
          <w:bCs/>
        </w:rPr>
        <w:t>Если в мебели обнаружены недостатки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Если потребитель обнаружил в мебели недостатки, которые не были оговорены продавцом, но указаны в договоре, потребитель по своему выбору вправе: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потребовать замены на товар этой же марки (этих же модели и (или) артикула);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lastRenderedPageBreak/>
        <w:t>- потребовать замены на такой же товар другой марки (модели, артикула) с соответствующим перерасчетом покупной цены;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потребовать соразмерного уменьшения покупной цены;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Российской Федерации от 07 февраля 1992 г. № 2300-I «О защите прав потребителей» для удовлетворения соответствующих требований потребителя.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Для предъявления любого из указанных выше требований необходимо обратиться к продавцу с письменной претензией, составленной в двух экземплярах, с чётко сформулированными требованиями.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Подать претензию можно несколькими способами: вручить лично, отправить по почте, вручить при свидетелях.</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Если спор не получилось урегулировать в досудебном порядке, посредством направления претензии, потребитель имеет право обратиться </w:t>
      </w:r>
      <w:r w:rsidRPr="00BF0A2B">
        <w:rPr>
          <w:rFonts w:ascii="Times New Roman" w:hAnsi="Times New Roman" w:cs="Times New Roman"/>
          <w:b/>
          <w:bCs/>
        </w:rPr>
        <w:t>в суд с исковым заявлением</w:t>
      </w:r>
      <w:r w:rsidRPr="00BF0A2B">
        <w:rPr>
          <w:rFonts w:ascii="Times New Roman" w:hAnsi="Times New Roman" w:cs="Times New Roman"/>
        </w:rPr>
        <w:t> для защиты своих прав и законных интересов.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b/>
          <w:bCs/>
        </w:rPr>
        <w:t>Как правильно выбрать обувь</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xml:space="preserve">При покупке обуви следует тщательно </w:t>
      </w:r>
      <w:proofErr w:type="gramStart"/>
      <w:r w:rsidRPr="00BF0A2B">
        <w:rPr>
          <w:rFonts w:ascii="Times New Roman" w:hAnsi="Times New Roman" w:cs="Times New Roman"/>
        </w:rPr>
        <w:t>осмотреть  обувь</w:t>
      </w:r>
      <w:proofErr w:type="gramEnd"/>
      <w:r w:rsidRPr="00BF0A2B">
        <w:rPr>
          <w:rFonts w:ascii="Times New Roman" w:hAnsi="Times New Roman" w:cs="Times New Roman"/>
        </w:rPr>
        <w:t>. Важно обратить внимание на то, чтобы она была одинаковой по структуре материала, по цвету, чтобы детали не отличались по размеру, плотности. Подкладка не должна отставать от верха или задника, сама задняя часть и носок не должны быть мягкими, плохо сформированными или деформированными. Обувь не должна иметь следов эксплуатации: потертостей ходовой поверхности, царапин, заломов. Примеряя новую обувь, необходимо примерять ее стоя, желательно сделать несколько шагов. Форма обуви должна соответствовать форме и размеру стопы.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Безопасность обуви регламентируется техническим регламентом Таможенного союза ТРТС 017/2011 «О безопасности продукции легкой промышленности».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Перед выпуском в обращение обувь, в зависимости от ее назначения, должна пройти подтверждение соответствия данному нормативному документу в виде декларирования.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Согласно законодательству Российской Федерации о техническом регулировании продавец обязан по требованию потребителя ознакомить его с товарно-сопроводительной документацией, содержащей сведения об обязательном подтверждении соответствия (в том числе регистрационный номер декларации соответствия,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Необходимые сведения об обуви предоставляются потребителю путем маркировки товара.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Маркировка может наноситься на само изделие, этикетку, прикрепляемую к изделию, или товарный ярлык, упаковку изделия, упаковку группы изделий или листок-вкладыш к товару.</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До потребителя доводится следующая информация: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страны-изготовителя;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изготовителя или продавца, или уполномоченного изготовителем лица;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юридический адрес изготовителя или продавца, или уполномоченного изготовителем лица;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lastRenderedPageBreak/>
        <w:t>- размер изделия;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товарный знак (при наличии);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единый знак обращения продукции на рынке государств - членов Таможенного союза: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гарантийные обязательства изготовителя (при необходимости);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дату изготовления;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модель и (или) артикул изделия;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вид материала, использованного для изготовления верха, подкладки и низа обуви;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инструкцию по уходу за обувью (при необходимости).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xml:space="preserve">Управление </w:t>
      </w:r>
      <w:proofErr w:type="spellStart"/>
      <w:r w:rsidRPr="00BF0A2B">
        <w:rPr>
          <w:rFonts w:ascii="Times New Roman" w:hAnsi="Times New Roman" w:cs="Times New Roman"/>
        </w:rPr>
        <w:t>Роспотребнадзора</w:t>
      </w:r>
      <w:proofErr w:type="spellEnd"/>
      <w:r w:rsidRPr="00BF0A2B">
        <w:rPr>
          <w:rFonts w:ascii="Times New Roman" w:hAnsi="Times New Roman" w:cs="Times New Roman"/>
        </w:rPr>
        <w:t xml:space="preserve"> по Красноярскому краю обращает внимание, что постановлением Правительства Российской Федерации от 05.07.2019 г. № 860 утверждены Правила маркировки обувных товаров средствами идентификации и особенности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Перечень обувных товаров, подлежащих обязательной маркировке средствами идентификации, утвержден распоряжением Правительства Российской Федерации №792-р от 28 апреля 2018 года.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С 01 марта 2020 года нанесение средств идентификации на потребительскую упаковку или на обувные товары, или на товарный ярлык обувных товаров является обязательным.</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Новую обязанность должны исполнить производители, поставщики, розничные продавцы, импортеры обуви, комиссионеры.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Вместе с обувью покупателю должен быть передан кассовый и (или) товарный чек, в котором указывается наименование товара и продавца, дата продажи, артикул, цена товара, а также подпись лица, непосредственно осуществляющего продажу.</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xml:space="preserve">Предпочтительнее совершать покупки обуви в стационарных и специализированных магазинах. При соблюдении вышеперечисленных правил можно купить достойную, качественную и </w:t>
      </w:r>
      <w:proofErr w:type="spellStart"/>
      <w:r w:rsidRPr="00BF0A2B">
        <w:rPr>
          <w:rFonts w:ascii="Times New Roman" w:hAnsi="Times New Roman" w:cs="Times New Roman"/>
        </w:rPr>
        <w:t>долгослужащую</w:t>
      </w:r>
      <w:proofErr w:type="spellEnd"/>
      <w:r w:rsidRPr="00BF0A2B">
        <w:rPr>
          <w:rFonts w:ascii="Times New Roman" w:hAnsi="Times New Roman" w:cs="Times New Roman"/>
        </w:rPr>
        <w:t xml:space="preserve"> обувь.</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b/>
          <w:bCs/>
        </w:rPr>
        <w:t>Что необходимо знать при выборе парфюмерно-косметических товаров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В канун праздников мы ищем подарки для родных, знакомых, друзей. Одним из самых популярных подарков являются парфюмерно-косметические товары.</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При выборе таких товаров необходимо обратить внимание</w:t>
      </w:r>
      <w:r w:rsidRPr="00BF0A2B">
        <w:rPr>
          <w:rFonts w:ascii="Times New Roman" w:hAnsi="Times New Roman" w:cs="Times New Roman"/>
          <w:b/>
          <w:bCs/>
        </w:rPr>
        <w:t> </w:t>
      </w:r>
      <w:r w:rsidRPr="00BF0A2B">
        <w:rPr>
          <w:rFonts w:ascii="Times New Roman" w:hAnsi="Times New Roman" w:cs="Times New Roman"/>
        </w:rPr>
        <w:t>на наличие информации о товаре и изготовителе, которая в обязательном порядке должна быть на русском языке, и нанесена в виде надписей, цифровых, цветовых и графических обозначений на потребительскую тару, этикетку, ярлык.</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Согласно техническому регламенту Таможенного союза ТР ТС 009/2011 «О безопасности парфюмерно-косметической продукции» (далее – Технический регламент Таможенного союза) маркировка парфюмерно-косметической продукции должна содержать следующую информацию:</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название (при наличии) парфюмерно-косметической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назначение парфюмерно-косметической продукции, если это не следует из наименования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косметика, предназначенная для детей, должна иметь соответствующую информацию в маркировке;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наименование изготовителя и его местонахождение (юридический адрес, включая страну);</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lastRenderedPageBreak/>
        <w:t>- наименование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номинальное количество (объем или масса) продукции в потребительской таре;</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цвет и/или тон (для декоративной косметики и окрашивающих средств);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массовую долю фторида для средств гигиены полости рта, содержащих соединения фтора;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срок годности: дата изготовления (месяц, год) и срок годности (месяцев, лет), или надпись "годен до" (месяц, год) или "использовать до" (месяц, год);</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описание условий хранения в случае, если эти условия отличаются от стандартных;</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особые меры предосторожности при применении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номер партии или специальный код, позволяющие идентифицировать партию парфюмерно-косметической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 список ингредиентов.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Информация должна быть четкой и несмываемой с упаковки в условиях использования продукции по назначению.</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Оценка соответствия парфюмерно-косметической продукции требованиям Технического регламента Таможенного союза проводится путем подтверждения соответствия в форме декларирования</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В соответствии с п. 12 Правил продажи отдельных видов товаров, утвержденных постановлением Правительства РФ от 19.01.1998 № 55,  продавец обязан по требованию потребителя ознакомить его с товарно-сопроводительной документацией на товар, содержащий по каждому наименованию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D85920" w:rsidRPr="00BF0A2B" w:rsidRDefault="00D85920" w:rsidP="00D42340">
      <w:pPr>
        <w:spacing w:line="240" w:lineRule="atLeast"/>
        <w:jc w:val="both"/>
        <w:rPr>
          <w:rFonts w:ascii="Times New Roman" w:hAnsi="Times New Roman" w:cs="Times New Roman"/>
        </w:rPr>
      </w:pPr>
      <w:r w:rsidRPr="00BF0A2B">
        <w:rPr>
          <w:rFonts w:ascii="Times New Roman" w:hAnsi="Times New Roman" w:cs="Times New Roman"/>
        </w:rPr>
        <w:t>Согласно Постановлению Правительства РФ от 19.01.1998 г. № 55 парфюмерно-косметические товары надлежащего качества не подлежат обмену или возврату. Поэтому, при приобретении парфюмерно-косметических товаров, покупателю следует принять взвешенное решение, поскольку вернуть их в магазин можно только при наличии недостатков либо если Вам при покупке (т.е. в момент заключения договора) не предоставлена полная и достоверная информация о товаре.</w:t>
      </w:r>
    </w:p>
    <w:sectPr w:rsidR="00D85920" w:rsidRPr="00BF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33AB"/>
    <w:multiLevelType w:val="multilevel"/>
    <w:tmpl w:val="AD38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547B1"/>
    <w:multiLevelType w:val="multilevel"/>
    <w:tmpl w:val="14F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E5B87"/>
    <w:multiLevelType w:val="multilevel"/>
    <w:tmpl w:val="27F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5"/>
    <w:rsid w:val="001B50AA"/>
    <w:rsid w:val="009E7995"/>
    <w:rsid w:val="00BF0A2B"/>
    <w:rsid w:val="00D2479E"/>
    <w:rsid w:val="00D42340"/>
    <w:rsid w:val="00D8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A7CF"/>
  <w15:chartTrackingRefBased/>
  <w15:docId w15:val="{B976BB98-16CF-4BDA-AEB3-F6FBBF3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7</cp:revision>
  <dcterms:created xsi:type="dcterms:W3CDTF">2022-09-19T04:15:00Z</dcterms:created>
  <dcterms:modified xsi:type="dcterms:W3CDTF">2022-09-20T04:32:00Z</dcterms:modified>
</cp:coreProperties>
</file>