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C9" w:rsidRPr="00BC680A" w:rsidRDefault="008225B8" w:rsidP="002E6FC9">
      <w:pPr>
        <w:tabs>
          <w:tab w:val="left" w:pos="7020"/>
          <w:tab w:val="left" w:pos="7200"/>
          <w:tab w:val="left" w:pos="7560"/>
        </w:tabs>
        <w:spacing w:after="0" w:line="240" w:lineRule="auto"/>
        <w:jc w:val="center"/>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t>ИНФОРМАЦИЯ</w:t>
      </w:r>
      <w:r w:rsidR="002E6FC9" w:rsidRPr="00BC680A">
        <w:rPr>
          <w:rFonts w:ascii="Times New Roman" w:eastAsia="Times New Roman" w:hAnsi="Times New Roman" w:cs="Times New Roman"/>
          <w:b/>
          <w:sz w:val="24"/>
          <w:szCs w:val="24"/>
          <w:lang w:eastAsia="ru-RU"/>
        </w:rPr>
        <w:t xml:space="preserve"> </w:t>
      </w:r>
    </w:p>
    <w:p w:rsidR="002E6FC9" w:rsidRPr="00BC680A" w:rsidRDefault="002E6FC9" w:rsidP="002E6FC9">
      <w:pPr>
        <w:shd w:val="clear" w:color="auto" w:fill="FFFFFF"/>
        <w:spacing w:after="0" w:line="240" w:lineRule="auto"/>
        <w:jc w:val="center"/>
        <w:rPr>
          <w:rFonts w:ascii="Times New Roman" w:eastAsia="Times New Roman" w:hAnsi="Times New Roman" w:cs="Times New Roman"/>
          <w:b/>
          <w:sz w:val="24"/>
          <w:szCs w:val="24"/>
          <w:lang w:eastAsia="ru-RU"/>
        </w:rPr>
      </w:pPr>
      <w:r w:rsidRPr="00BC680A">
        <w:rPr>
          <w:rFonts w:ascii="Times New Roman" w:eastAsia="Times New Roman" w:hAnsi="Times New Roman" w:cs="Times New Roman"/>
          <w:b/>
          <w:sz w:val="24"/>
          <w:szCs w:val="24"/>
          <w:lang w:eastAsia="ru-RU"/>
        </w:rPr>
        <w:t>о результатах контрольного мероприятия</w:t>
      </w:r>
    </w:p>
    <w:p w:rsidR="004B006E" w:rsidRPr="005B43E4" w:rsidRDefault="004B006E" w:rsidP="004B006E">
      <w:pPr>
        <w:spacing w:after="0" w:line="240" w:lineRule="auto"/>
        <w:ind w:firstLine="708"/>
        <w:jc w:val="both"/>
        <w:rPr>
          <w:rFonts w:ascii="Times New Roman" w:eastAsia="Calibri" w:hAnsi="Times New Roman" w:cs="Times New Roman"/>
          <w:sz w:val="24"/>
          <w:szCs w:val="24"/>
        </w:rPr>
      </w:pPr>
      <w:r w:rsidRPr="005B43E4">
        <w:rPr>
          <w:rFonts w:ascii="Times New Roman" w:eastAsia="Calibri" w:hAnsi="Times New Roman" w:cs="Times New Roman"/>
          <w:sz w:val="24"/>
          <w:szCs w:val="24"/>
        </w:rPr>
        <w:t xml:space="preserve">«Проверка </w:t>
      </w:r>
      <w:proofErr w:type="gramStart"/>
      <w:r w:rsidRPr="005B43E4">
        <w:rPr>
          <w:rFonts w:ascii="Times New Roman" w:eastAsia="Calibri" w:hAnsi="Times New Roman" w:cs="Times New Roman"/>
          <w:sz w:val="24"/>
          <w:szCs w:val="24"/>
        </w:rPr>
        <w:t>полноты проводимых мероприятий органов местного самоуправления района</w:t>
      </w:r>
      <w:proofErr w:type="gramEnd"/>
      <w:r w:rsidRPr="005B43E4">
        <w:rPr>
          <w:rFonts w:ascii="Times New Roman" w:eastAsia="Calibri" w:hAnsi="Times New Roman" w:cs="Times New Roman"/>
          <w:sz w:val="24"/>
          <w:szCs w:val="24"/>
        </w:rPr>
        <w:t xml:space="preserve"> по недопущению образования и своевременному погашению дебиторской задолженности (в том числе просроченной) по неналоговым доходам</w:t>
      </w:r>
      <w:r w:rsidRPr="005B43E4">
        <w:rPr>
          <w:rFonts w:ascii="Times New Roman" w:eastAsia="Calibri" w:hAnsi="Times New Roman" w:cs="Times New Roman"/>
          <w:sz w:val="24"/>
          <w:szCs w:val="24"/>
          <w:shd w:val="clear" w:color="auto" w:fill="FFFFFF"/>
        </w:rPr>
        <w:t>».</w:t>
      </w:r>
    </w:p>
    <w:p w:rsidR="008225B8" w:rsidRPr="005B43E4" w:rsidRDefault="004B006E" w:rsidP="00640AB4">
      <w:pPr>
        <w:pStyle w:val="a5"/>
        <w:spacing w:after="0" w:line="240" w:lineRule="auto"/>
        <w:ind w:left="0" w:firstLine="709"/>
        <w:jc w:val="both"/>
        <w:rPr>
          <w:rFonts w:ascii="Times New Roman" w:hAnsi="Times New Roman" w:cs="Times New Roman"/>
          <w:b/>
          <w:sz w:val="24"/>
          <w:szCs w:val="24"/>
        </w:rPr>
      </w:pPr>
      <w:r w:rsidRPr="005B43E4">
        <w:rPr>
          <w:rFonts w:ascii="Times New Roman" w:eastAsia="Times New Roman" w:hAnsi="Times New Roman" w:cs="Times New Roman"/>
          <w:sz w:val="24"/>
          <w:szCs w:val="24"/>
          <w:lang w:eastAsia="ru-RU"/>
        </w:rPr>
        <w:t xml:space="preserve"> </w:t>
      </w:r>
      <w:r w:rsidR="008225B8" w:rsidRPr="005B43E4">
        <w:rPr>
          <w:rFonts w:ascii="Times New Roman" w:hAnsi="Times New Roman" w:cs="Times New Roman"/>
          <w:b/>
          <w:sz w:val="24"/>
          <w:szCs w:val="24"/>
        </w:rPr>
        <w:t>1. Данные о мероприятии</w:t>
      </w:r>
    </w:p>
    <w:p w:rsidR="002E6FC9" w:rsidRPr="005B43E4" w:rsidRDefault="008225B8" w:rsidP="00640A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43E4">
        <w:rPr>
          <w:rFonts w:ascii="Times New Roman" w:eastAsia="Times New Roman" w:hAnsi="Times New Roman" w:cs="Times New Roman"/>
          <w:b/>
          <w:sz w:val="24"/>
          <w:szCs w:val="24"/>
          <w:lang w:eastAsia="ru-RU"/>
        </w:rPr>
        <w:t>1.</w:t>
      </w:r>
      <w:r w:rsidR="002E6FC9" w:rsidRPr="005B43E4">
        <w:rPr>
          <w:rFonts w:ascii="Times New Roman" w:eastAsia="Times New Roman" w:hAnsi="Times New Roman" w:cs="Times New Roman"/>
          <w:b/>
          <w:sz w:val="24"/>
          <w:szCs w:val="24"/>
          <w:lang w:eastAsia="ru-RU"/>
        </w:rPr>
        <w:t>1. Основание:</w:t>
      </w:r>
      <w:r w:rsidR="002E6FC9" w:rsidRPr="005B43E4">
        <w:rPr>
          <w:rFonts w:ascii="Times New Roman" w:eastAsia="Times New Roman" w:hAnsi="Times New Roman" w:cs="Times New Roman"/>
          <w:sz w:val="24"/>
          <w:szCs w:val="24"/>
          <w:lang w:eastAsia="ru-RU"/>
        </w:rPr>
        <w:t xml:space="preserve"> пункт 2.</w:t>
      </w:r>
      <w:r w:rsidR="00300058" w:rsidRPr="005B43E4">
        <w:rPr>
          <w:rFonts w:ascii="Times New Roman" w:eastAsia="Times New Roman" w:hAnsi="Times New Roman" w:cs="Times New Roman"/>
          <w:sz w:val="24"/>
          <w:szCs w:val="24"/>
          <w:lang w:eastAsia="ru-RU"/>
        </w:rPr>
        <w:t>10</w:t>
      </w:r>
      <w:r w:rsidR="00B258AE" w:rsidRPr="005B43E4">
        <w:rPr>
          <w:rFonts w:ascii="Times New Roman" w:eastAsia="Times New Roman" w:hAnsi="Times New Roman" w:cs="Times New Roman"/>
          <w:sz w:val="24"/>
          <w:szCs w:val="24"/>
          <w:lang w:eastAsia="ru-RU"/>
        </w:rPr>
        <w:t xml:space="preserve"> </w:t>
      </w:r>
      <w:r w:rsidR="002E6FC9" w:rsidRPr="005B43E4">
        <w:rPr>
          <w:rFonts w:ascii="Times New Roman" w:eastAsia="Times New Roman" w:hAnsi="Times New Roman" w:cs="Times New Roman"/>
          <w:sz w:val="24"/>
          <w:szCs w:val="24"/>
          <w:lang w:eastAsia="ru-RU"/>
        </w:rPr>
        <w:t>Плана работы Ревизионной комиссии Кежемского района на 202</w:t>
      </w:r>
      <w:r w:rsidR="00B258AE" w:rsidRPr="005B43E4">
        <w:rPr>
          <w:rFonts w:ascii="Times New Roman" w:eastAsia="Times New Roman" w:hAnsi="Times New Roman" w:cs="Times New Roman"/>
          <w:sz w:val="24"/>
          <w:szCs w:val="24"/>
          <w:lang w:eastAsia="ru-RU"/>
        </w:rPr>
        <w:t>4</w:t>
      </w:r>
      <w:r w:rsidR="002E6FC9" w:rsidRPr="005B43E4">
        <w:rPr>
          <w:rFonts w:ascii="Times New Roman" w:eastAsia="Times New Roman" w:hAnsi="Times New Roman" w:cs="Times New Roman"/>
          <w:sz w:val="24"/>
          <w:szCs w:val="24"/>
          <w:lang w:eastAsia="ru-RU"/>
        </w:rPr>
        <w:t xml:space="preserve"> год, утвержденного приказом председателя Ревизионной комиссии от </w:t>
      </w:r>
      <w:r w:rsidR="00B258AE" w:rsidRPr="005B43E4">
        <w:rPr>
          <w:rFonts w:ascii="Times New Roman" w:eastAsia="Times New Roman" w:hAnsi="Times New Roman" w:cs="Times New Roman"/>
          <w:sz w:val="24"/>
          <w:szCs w:val="24"/>
          <w:lang w:eastAsia="ru-RU"/>
        </w:rPr>
        <w:t>04</w:t>
      </w:r>
      <w:r w:rsidR="002E6FC9" w:rsidRPr="005B43E4">
        <w:rPr>
          <w:rFonts w:ascii="Times New Roman" w:eastAsia="Times New Roman" w:hAnsi="Times New Roman" w:cs="Times New Roman"/>
          <w:sz w:val="24"/>
          <w:szCs w:val="24"/>
          <w:lang w:eastAsia="ru-RU"/>
        </w:rPr>
        <w:t>.12.202</w:t>
      </w:r>
      <w:r w:rsidR="00B258AE" w:rsidRPr="005B43E4">
        <w:rPr>
          <w:rFonts w:ascii="Times New Roman" w:eastAsia="Times New Roman" w:hAnsi="Times New Roman" w:cs="Times New Roman"/>
          <w:sz w:val="24"/>
          <w:szCs w:val="24"/>
          <w:lang w:eastAsia="ru-RU"/>
        </w:rPr>
        <w:t>3</w:t>
      </w:r>
      <w:r w:rsidR="002E6FC9" w:rsidRPr="005B43E4">
        <w:rPr>
          <w:rFonts w:ascii="Times New Roman" w:eastAsia="Times New Roman" w:hAnsi="Times New Roman" w:cs="Times New Roman"/>
          <w:sz w:val="24"/>
          <w:szCs w:val="24"/>
          <w:lang w:eastAsia="ru-RU"/>
        </w:rPr>
        <w:t xml:space="preserve"> года № 05-01-0</w:t>
      </w:r>
      <w:r w:rsidR="00B258AE" w:rsidRPr="005B43E4">
        <w:rPr>
          <w:rFonts w:ascii="Times New Roman" w:eastAsia="Times New Roman" w:hAnsi="Times New Roman" w:cs="Times New Roman"/>
          <w:sz w:val="24"/>
          <w:szCs w:val="24"/>
          <w:lang w:eastAsia="ru-RU"/>
        </w:rPr>
        <w:t>1</w:t>
      </w:r>
      <w:r w:rsidR="002E6FC9" w:rsidRPr="005B43E4">
        <w:rPr>
          <w:rFonts w:ascii="Times New Roman" w:eastAsia="Times New Roman" w:hAnsi="Times New Roman" w:cs="Times New Roman"/>
          <w:sz w:val="24"/>
          <w:szCs w:val="24"/>
          <w:lang w:eastAsia="ru-RU"/>
        </w:rPr>
        <w:t xml:space="preserve">, </w:t>
      </w:r>
      <w:r w:rsidR="003942B2" w:rsidRPr="005B43E4">
        <w:rPr>
          <w:rFonts w:ascii="Times New Roman" w:eastAsia="Times New Roman" w:hAnsi="Times New Roman" w:cs="Times New Roman"/>
          <w:sz w:val="24"/>
          <w:szCs w:val="24"/>
          <w:lang w:eastAsia="ru-RU"/>
        </w:rPr>
        <w:t xml:space="preserve">приказ </w:t>
      </w:r>
      <w:r w:rsidR="002603B5" w:rsidRPr="005B43E4">
        <w:rPr>
          <w:rFonts w:ascii="Times New Roman" w:eastAsia="Times New Roman" w:hAnsi="Times New Roman" w:cs="Times New Roman"/>
          <w:sz w:val="24"/>
          <w:szCs w:val="24"/>
          <w:lang w:eastAsia="ru-RU"/>
        </w:rPr>
        <w:t xml:space="preserve">председателя </w:t>
      </w:r>
      <w:r w:rsidR="003942B2" w:rsidRPr="005B43E4">
        <w:rPr>
          <w:rFonts w:ascii="Times New Roman" w:eastAsia="Times New Roman" w:hAnsi="Times New Roman" w:cs="Times New Roman"/>
          <w:sz w:val="24"/>
          <w:szCs w:val="24"/>
          <w:lang w:eastAsia="ru-RU"/>
        </w:rPr>
        <w:t>Р</w:t>
      </w:r>
      <w:r w:rsidR="002E6FC9" w:rsidRPr="005B43E4">
        <w:rPr>
          <w:rFonts w:ascii="Times New Roman" w:eastAsia="Times New Roman" w:hAnsi="Times New Roman" w:cs="Times New Roman"/>
          <w:sz w:val="24"/>
          <w:szCs w:val="24"/>
          <w:lang w:eastAsia="ru-RU"/>
        </w:rPr>
        <w:t>евизионной комиссии</w:t>
      </w:r>
      <w:r w:rsidR="003942B2" w:rsidRPr="005B43E4">
        <w:rPr>
          <w:rFonts w:ascii="Times New Roman" w:eastAsia="Times New Roman" w:hAnsi="Times New Roman" w:cs="Times New Roman"/>
          <w:sz w:val="24"/>
          <w:szCs w:val="24"/>
          <w:lang w:eastAsia="ru-RU"/>
        </w:rPr>
        <w:t xml:space="preserve"> от </w:t>
      </w:r>
      <w:r w:rsidR="00300058" w:rsidRPr="005B43E4">
        <w:rPr>
          <w:rFonts w:ascii="Times New Roman" w:eastAsia="Times New Roman" w:hAnsi="Times New Roman" w:cs="Times New Roman"/>
          <w:sz w:val="24"/>
          <w:szCs w:val="24"/>
          <w:lang w:eastAsia="ru-RU"/>
        </w:rPr>
        <w:t>29</w:t>
      </w:r>
      <w:r w:rsidR="00575AD8" w:rsidRPr="005B43E4">
        <w:rPr>
          <w:rFonts w:ascii="Times New Roman" w:eastAsia="Calibri" w:hAnsi="Times New Roman" w:cs="Times New Roman"/>
          <w:sz w:val="24"/>
          <w:szCs w:val="24"/>
        </w:rPr>
        <w:t>.</w:t>
      </w:r>
      <w:r w:rsidR="00300058" w:rsidRPr="005B43E4">
        <w:rPr>
          <w:rFonts w:ascii="Times New Roman" w:eastAsia="Calibri" w:hAnsi="Times New Roman" w:cs="Times New Roman"/>
          <w:sz w:val="24"/>
          <w:szCs w:val="24"/>
        </w:rPr>
        <w:t>10</w:t>
      </w:r>
      <w:r w:rsidR="00575AD8" w:rsidRPr="005B43E4">
        <w:rPr>
          <w:rFonts w:ascii="Times New Roman" w:eastAsia="Calibri" w:hAnsi="Times New Roman" w:cs="Times New Roman"/>
          <w:sz w:val="24"/>
          <w:szCs w:val="24"/>
        </w:rPr>
        <w:t>.2024 года № 05-02-0</w:t>
      </w:r>
      <w:r w:rsidR="00300058" w:rsidRPr="005B43E4">
        <w:rPr>
          <w:rFonts w:ascii="Times New Roman" w:eastAsia="Calibri" w:hAnsi="Times New Roman" w:cs="Times New Roman"/>
          <w:sz w:val="24"/>
          <w:szCs w:val="24"/>
        </w:rPr>
        <w:t>3</w:t>
      </w:r>
      <w:r w:rsidR="002E6FC9" w:rsidRPr="005B43E4">
        <w:rPr>
          <w:rFonts w:ascii="Times New Roman" w:eastAsia="Times New Roman" w:hAnsi="Times New Roman" w:cs="Times New Roman"/>
          <w:sz w:val="24"/>
          <w:szCs w:val="24"/>
          <w:lang w:eastAsia="ru-RU"/>
        </w:rPr>
        <w:t>.</w:t>
      </w:r>
    </w:p>
    <w:p w:rsidR="00B258AE" w:rsidRPr="005B43E4" w:rsidRDefault="008225B8" w:rsidP="00B258AE">
      <w:pPr>
        <w:pStyle w:val="a5"/>
        <w:spacing w:after="0" w:line="240" w:lineRule="auto"/>
        <w:ind w:left="0" w:firstLine="709"/>
        <w:jc w:val="both"/>
        <w:rPr>
          <w:rFonts w:ascii="Times New Roman" w:eastAsia="Times New Roman" w:hAnsi="Times New Roman" w:cs="Times New Roman"/>
          <w:b/>
          <w:sz w:val="24"/>
          <w:szCs w:val="24"/>
        </w:rPr>
      </w:pPr>
      <w:r w:rsidRPr="005B43E4">
        <w:rPr>
          <w:rFonts w:ascii="Times New Roman" w:eastAsia="Times New Roman" w:hAnsi="Times New Roman" w:cs="Times New Roman"/>
          <w:b/>
          <w:sz w:val="24"/>
          <w:szCs w:val="24"/>
          <w:lang w:eastAsia="ru-RU"/>
        </w:rPr>
        <w:t>1.2.</w:t>
      </w:r>
      <w:r w:rsidR="002E6FC9" w:rsidRPr="005B43E4">
        <w:rPr>
          <w:rFonts w:ascii="Times New Roman" w:eastAsia="Times New Roman" w:hAnsi="Times New Roman" w:cs="Times New Roman"/>
          <w:b/>
          <w:sz w:val="24"/>
          <w:szCs w:val="24"/>
          <w:lang w:eastAsia="ru-RU"/>
        </w:rPr>
        <w:t>Объект мероприятия:</w:t>
      </w:r>
      <w:r w:rsidR="002E6FC9" w:rsidRPr="005B43E4">
        <w:rPr>
          <w:rFonts w:ascii="Times New Roman" w:eastAsia="Times New Roman" w:hAnsi="Times New Roman" w:cs="Times New Roman"/>
          <w:sz w:val="24"/>
          <w:szCs w:val="24"/>
          <w:lang w:eastAsia="ru-RU"/>
        </w:rPr>
        <w:t xml:space="preserve"> </w:t>
      </w:r>
      <w:r w:rsidR="00300058" w:rsidRPr="005B43E4">
        <w:rPr>
          <w:rFonts w:ascii="Times New Roman" w:eastAsia="Calibri" w:hAnsi="Times New Roman" w:cs="Times New Roman"/>
          <w:sz w:val="24"/>
          <w:szCs w:val="24"/>
        </w:rPr>
        <w:t>Управление имущественных отношений Администрации Кежемского района, Администрация города Кодинск</w:t>
      </w:r>
      <w:r w:rsidR="00575AD8" w:rsidRPr="005B43E4">
        <w:rPr>
          <w:rFonts w:ascii="Times New Roman" w:eastAsia="Times New Roman" w:hAnsi="Times New Roman" w:cs="Times New Roman"/>
          <w:sz w:val="24"/>
          <w:szCs w:val="24"/>
          <w:lang w:eastAsia="ru-RU"/>
        </w:rPr>
        <w:t>.</w:t>
      </w:r>
    </w:p>
    <w:p w:rsidR="00B258AE" w:rsidRPr="005B43E4" w:rsidRDefault="00B258AE" w:rsidP="00B258AE">
      <w:pPr>
        <w:spacing w:after="0" w:line="240" w:lineRule="auto"/>
        <w:ind w:left="360"/>
        <w:jc w:val="both"/>
        <w:rPr>
          <w:rFonts w:ascii="Times New Roman" w:eastAsia="Times New Roman" w:hAnsi="Times New Roman" w:cs="Times New Roman"/>
          <w:sz w:val="24"/>
          <w:szCs w:val="24"/>
          <w:lang w:eastAsia="ru-RU"/>
        </w:rPr>
      </w:pPr>
      <w:r w:rsidRPr="005B43E4">
        <w:rPr>
          <w:rFonts w:ascii="Times New Roman" w:eastAsia="Times New Roman" w:hAnsi="Times New Roman" w:cs="Times New Roman"/>
          <w:b/>
          <w:sz w:val="24"/>
          <w:szCs w:val="24"/>
          <w:lang w:eastAsia="ru-RU"/>
        </w:rPr>
        <w:t xml:space="preserve">     </w:t>
      </w:r>
      <w:r w:rsidR="008225B8" w:rsidRPr="005B43E4">
        <w:rPr>
          <w:rFonts w:ascii="Times New Roman" w:eastAsia="Times New Roman" w:hAnsi="Times New Roman" w:cs="Times New Roman"/>
          <w:b/>
          <w:sz w:val="24"/>
          <w:szCs w:val="24"/>
          <w:lang w:eastAsia="ru-RU"/>
        </w:rPr>
        <w:t xml:space="preserve">1.3. </w:t>
      </w:r>
      <w:r w:rsidR="002E6FC9" w:rsidRPr="005B43E4">
        <w:rPr>
          <w:rFonts w:ascii="Times New Roman" w:eastAsia="Times New Roman" w:hAnsi="Times New Roman" w:cs="Times New Roman"/>
          <w:b/>
          <w:sz w:val="24"/>
          <w:szCs w:val="24"/>
          <w:lang w:eastAsia="ru-RU"/>
        </w:rPr>
        <w:t xml:space="preserve">Сроки проведения мероприятия: </w:t>
      </w:r>
      <w:r w:rsidR="003942B2" w:rsidRPr="005B43E4">
        <w:rPr>
          <w:rFonts w:ascii="Times New Roman" w:hAnsi="Times New Roman" w:cs="Times New Roman"/>
          <w:sz w:val="24"/>
          <w:szCs w:val="24"/>
        </w:rPr>
        <w:t xml:space="preserve"> </w:t>
      </w:r>
      <w:r w:rsidR="00300058" w:rsidRPr="005B43E4">
        <w:rPr>
          <w:rFonts w:ascii="Times New Roman" w:eastAsia="Calibri" w:hAnsi="Times New Roman" w:cs="Times New Roman"/>
          <w:sz w:val="24"/>
          <w:szCs w:val="24"/>
        </w:rPr>
        <w:t>с 11.11.2024 по 29.11.2024 года.</w:t>
      </w:r>
    </w:p>
    <w:p w:rsidR="002E6FC9" w:rsidRPr="005B43E4" w:rsidRDefault="008225B8" w:rsidP="00640AB4">
      <w:pPr>
        <w:spacing w:after="0" w:line="240" w:lineRule="auto"/>
        <w:ind w:firstLine="709"/>
        <w:jc w:val="both"/>
        <w:rPr>
          <w:rFonts w:ascii="Times New Roman" w:eastAsia="Times New Roman" w:hAnsi="Times New Roman" w:cs="Times New Roman"/>
          <w:sz w:val="24"/>
          <w:szCs w:val="24"/>
          <w:lang w:eastAsia="ru-RU"/>
        </w:rPr>
      </w:pPr>
      <w:r w:rsidRPr="005B43E4">
        <w:rPr>
          <w:rFonts w:ascii="Times New Roman" w:eastAsia="Times New Roman" w:hAnsi="Times New Roman" w:cs="Times New Roman"/>
          <w:b/>
          <w:sz w:val="24"/>
          <w:szCs w:val="24"/>
          <w:lang w:eastAsia="ru-RU"/>
        </w:rPr>
        <w:t>1.4</w:t>
      </w:r>
      <w:r w:rsidR="002E6FC9" w:rsidRPr="005B43E4">
        <w:rPr>
          <w:rFonts w:ascii="Times New Roman" w:eastAsia="Times New Roman" w:hAnsi="Times New Roman" w:cs="Times New Roman"/>
          <w:b/>
          <w:sz w:val="24"/>
          <w:szCs w:val="24"/>
          <w:lang w:eastAsia="ru-RU"/>
        </w:rPr>
        <w:t>.  Проверяемый период деятельности:</w:t>
      </w:r>
      <w:r w:rsidR="00002810" w:rsidRPr="005B43E4">
        <w:rPr>
          <w:rFonts w:ascii="Times New Roman" w:eastAsia="Times New Roman" w:hAnsi="Times New Roman" w:cs="Times New Roman"/>
          <w:b/>
          <w:sz w:val="24"/>
          <w:szCs w:val="24"/>
          <w:lang w:eastAsia="ru-RU"/>
        </w:rPr>
        <w:t xml:space="preserve"> </w:t>
      </w:r>
      <w:r w:rsidR="00300058" w:rsidRPr="005B43E4">
        <w:rPr>
          <w:rFonts w:ascii="Times New Roman" w:eastAsia="Calibri" w:hAnsi="Times New Roman" w:cs="Times New Roman"/>
          <w:sz w:val="24"/>
          <w:szCs w:val="24"/>
        </w:rPr>
        <w:t>2023  год и истекший  период 2024 года</w:t>
      </w:r>
      <w:r w:rsidR="002E6FC9" w:rsidRPr="005B43E4">
        <w:rPr>
          <w:rFonts w:ascii="Times New Roman" w:eastAsia="Times New Roman" w:hAnsi="Times New Roman" w:cs="Times New Roman"/>
          <w:sz w:val="24"/>
          <w:szCs w:val="24"/>
          <w:lang w:eastAsia="ru-RU"/>
        </w:rPr>
        <w:t>.</w:t>
      </w:r>
    </w:p>
    <w:p w:rsidR="008225B8" w:rsidRPr="005B43E4" w:rsidRDefault="008225B8" w:rsidP="008225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B43E4">
        <w:rPr>
          <w:rFonts w:ascii="Times New Roman" w:eastAsia="Times New Roman" w:hAnsi="Times New Roman" w:cs="Times New Roman"/>
          <w:b/>
          <w:sz w:val="24"/>
          <w:szCs w:val="24"/>
          <w:lang w:eastAsia="ru-RU"/>
        </w:rPr>
        <w:t>2</w:t>
      </w:r>
      <w:r w:rsidR="002E6FC9" w:rsidRPr="005B43E4">
        <w:rPr>
          <w:rFonts w:ascii="Times New Roman" w:eastAsia="Times New Roman" w:hAnsi="Times New Roman" w:cs="Times New Roman"/>
          <w:b/>
          <w:sz w:val="24"/>
          <w:szCs w:val="24"/>
          <w:lang w:eastAsia="ru-RU"/>
        </w:rPr>
        <w:t xml:space="preserve">. </w:t>
      </w:r>
      <w:r w:rsidRPr="005B43E4">
        <w:rPr>
          <w:rFonts w:ascii="Times New Roman" w:eastAsia="Times New Roman" w:hAnsi="Times New Roman" w:cs="Times New Roman"/>
          <w:b/>
          <w:sz w:val="24"/>
          <w:szCs w:val="24"/>
          <w:lang w:eastAsia="ru-RU"/>
        </w:rPr>
        <w:t>Основные выводы по результатам мероприятия:</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r w:rsidRPr="005B43E4">
        <w:rPr>
          <w:rFonts w:ascii="Times New Roman" w:eastAsia="Times New Roman" w:hAnsi="Times New Roman" w:cs="Times New Roman"/>
          <w:bCs/>
          <w:spacing w:val="1"/>
          <w:kern w:val="2"/>
          <w:sz w:val="24"/>
          <w:szCs w:val="24"/>
          <w:lang w:eastAsia="ru-RU"/>
        </w:rPr>
        <w:t>Управление дебиторской задолженностью по доходам включает в себя регламентацию элементов и процессов, начиная с этапа начисления дебиторской задолженности (предъявления требований к плательщику) и заканчивая</w:t>
      </w:r>
      <w:r w:rsidRPr="005B43E4">
        <w:rPr>
          <w:rFonts w:ascii="Times New Roman" w:eastAsia="Times New Roman" w:hAnsi="Times New Roman" w:cs="Times New Roman"/>
          <w:bCs/>
          <w:color w:val="000000"/>
          <w:spacing w:val="1"/>
          <w:kern w:val="2"/>
          <w:sz w:val="24"/>
          <w:szCs w:val="24"/>
          <w:lang w:eastAsia="ru-RU"/>
        </w:rPr>
        <w:t xml:space="preserve"> этапом ее погашения, взыскания или списания в случае признания безнадежной к взысканию, и осуществление </w:t>
      </w:r>
      <w:proofErr w:type="gramStart"/>
      <w:r w:rsidRPr="005B43E4">
        <w:rPr>
          <w:rFonts w:ascii="Times New Roman" w:eastAsia="Times New Roman" w:hAnsi="Times New Roman" w:cs="Times New Roman"/>
          <w:bCs/>
          <w:color w:val="000000"/>
          <w:spacing w:val="1"/>
          <w:kern w:val="2"/>
          <w:sz w:val="24"/>
          <w:szCs w:val="24"/>
          <w:lang w:eastAsia="ru-RU"/>
        </w:rPr>
        <w:t>контроля за</w:t>
      </w:r>
      <w:proofErr w:type="gramEnd"/>
      <w:r w:rsidRPr="005B43E4">
        <w:rPr>
          <w:rFonts w:ascii="Times New Roman" w:eastAsia="Times New Roman" w:hAnsi="Times New Roman" w:cs="Times New Roman"/>
          <w:bCs/>
          <w:color w:val="000000"/>
          <w:spacing w:val="1"/>
          <w:kern w:val="2"/>
          <w:sz w:val="24"/>
          <w:szCs w:val="24"/>
          <w:lang w:eastAsia="ru-RU"/>
        </w:rPr>
        <w:t xml:space="preserve"> работой администраторов доходов с дебиторской задолженностью. </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r w:rsidRPr="005B43E4">
        <w:rPr>
          <w:rFonts w:ascii="Times New Roman" w:eastAsia="Times New Roman" w:hAnsi="Times New Roman" w:cs="Times New Roman"/>
          <w:bCs/>
          <w:color w:val="000000"/>
          <w:spacing w:val="1"/>
          <w:kern w:val="2"/>
          <w:sz w:val="24"/>
          <w:szCs w:val="24"/>
          <w:lang w:eastAsia="ru-RU"/>
        </w:rPr>
        <w:t xml:space="preserve">Результатом управления дебиторской задолженностью по доходам должно быть уменьшение объема просроченной дебиторской задолженности за счет мер по предупреждению возникновения и взысканию. </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r w:rsidRPr="005B43E4">
        <w:rPr>
          <w:rFonts w:ascii="Times New Roman" w:eastAsia="Times New Roman" w:hAnsi="Times New Roman" w:cs="Times New Roman"/>
          <w:bCs/>
          <w:color w:val="000000"/>
          <w:spacing w:val="1"/>
          <w:kern w:val="2"/>
          <w:sz w:val="24"/>
          <w:szCs w:val="24"/>
          <w:lang w:eastAsia="ru-RU"/>
        </w:rPr>
        <w:t>К нормативному правовому регулированию управления дебиторской задолженностью относятся следующие положения и документы.</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r w:rsidRPr="005B43E4">
        <w:rPr>
          <w:rFonts w:ascii="Times New Roman" w:eastAsia="Times New Roman" w:hAnsi="Times New Roman" w:cs="Times New Roman"/>
          <w:bCs/>
          <w:color w:val="000000"/>
          <w:spacing w:val="1"/>
          <w:kern w:val="2"/>
          <w:sz w:val="24"/>
          <w:szCs w:val="24"/>
          <w:lang w:eastAsia="ru-RU"/>
        </w:rPr>
        <w:t xml:space="preserve">В соответствии с пунктом 2 статьи 160.1 БК РФ бюджетные полномочия администратора доходов бюджета включают осуществление начисления, учета и контроля </w:t>
      </w:r>
      <w:proofErr w:type="gramStart"/>
      <w:r w:rsidRPr="005B43E4">
        <w:rPr>
          <w:rFonts w:ascii="Times New Roman" w:eastAsia="Times New Roman" w:hAnsi="Times New Roman" w:cs="Times New Roman"/>
          <w:bCs/>
          <w:color w:val="000000"/>
          <w:spacing w:val="1"/>
          <w:kern w:val="2"/>
          <w:sz w:val="24"/>
          <w:szCs w:val="24"/>
          <w:lang w:eastAsia="ru-RU"/>
        </w:rPr>
        <w:t>за</w:t>
      </w:r>
      <w:proofErr w:type="gramEnd"/>
      <w:r w:rsidRPr="005B43E4">
        <w:rPr>
          <w:rFonts w:ascii="Times New Roman" w:eastAsia="Times New Roman" w:hAnsi="Times New Roman" w:cs="Times New Roman"/>
          <w:bCs/>
          <w:color w:val="000000"/>
          <w:spacing w:val="1"/>
          <w:kern w:val="2"/>
          <w:sz w:val="24"/>
          <w:szCs w:val="24"/>
          <w:lang w:eastAsia="ru-RU"/>
        </w:rPr>
        <w:t xml:space="preserve"> правильностью исчисления, полнотой и своевременностью осуществления платежей в бюджет, пеней и штрафов по ним, а также взыскания задолженности по платежам в бюджет, пеней и штрафов.</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proofErr w:type="gramStart"/>
      <w:r w:rsidRPr="005B43E4">
        <w:rPr>
          <w:rFonts w:ascii="Times New Roman" w:eastAsia="Times New Roman" w:hAnsi="Times New Roman" w:cs="Times New Roman"/>
          <w:bCs/>
          <w:color w:val="000000"/>
          <w:spacing w:val="1"/>
          <w:kern w:val="2"/>
          <w:sz w:val="24"/>
          <w:szCs w:val="24"/>
          <w:lang w:eastAsia="ru-RU"/>
        </w:rPr>
        <w:t>Согласно вышеизложенному, администратор доходов бюджета должен осуществлять мероприятия, направленные на взыскание дебиторской задолженности по доходам, недопущение образования просроченной дебиторской задолженности по доходам, урегулирование дебиторской задолженности по доходам в досудебном порядке или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proofErr w:type="gramEnd"/>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spacing w:val="1"/>
          <w:kern w:val="2"/>
          <w:sz w:val="24"/>
          <w:szCs w:val="24"/>
          <w:lang w:eastAsia="ru-RU"/>
        </w:rPr>
      </w:pPr>
      <w:r w:rsidRPr="005B43E4">
        <w:rPr>
          <w:rFonts w:ascii="Times New Roman" w:eastAsia="Times New Roman" w:hAnsi="Times New Roman" w:cs="Times New Roman"/>
          <w:bCs/>
          <w:spacing w:val="1"/>
          <w:kern w:val="2"/>
          <w:sz w:val="24"/>
          <w:szCs w:val="24"/>
          <w:lang w:eastAsia="ru-RU"/>
        </w:rPr>
        <w:t xml:space="preserve">Работу с дебиторской задолженностью ведет именно администратор доходов – Управление имущественных отношений </w:t>
      </w:r>
      <w:r w:rsidRPr="005B43E4">
        <w:rPr>
          <w:rFonts w:ascii="Times New Roman" w:eastAsia="Times New Roman" w:hAnsi="Times New Roman" w:cs="Times New Roman"/>
          <w:sz w:val="24"/>
          <w:szCs w:val="24"/>
          <w:lang w:eastAsia="ru-RU"/>
        </w:rPr>
        <w:t>(утвержденный постановлением от 27.11.2023 № 947-п)</w:t>
      </w:r>
      <w:r w:rsidRPr="005B43E4">
        <w:rPr>
          <w:rFonts w:ascii="Times New Roman" w:eastAsia="Times New Roman" w:hAnsi="Times New Roman" w:cs="Times New Roman"/>
          <w:bCs/>
          <w:spacing w:val="1"/>
          <w:kern w:val="2"/>
          <w:sz w:val="24"/>
          <w:szCs w:val="24"/>
          <w:lang w:eastAsia="ru-RU"/>
        </w:rPr>
        <w:t xml:space="preserve">, от которого зависит полнота поступления, достоверность и качество бюджетной отчетности. </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r w:rsidRPr="005B43E4">
        <w:rPr>
          <w:rFonts w:ascii="Times New Roman" w:eastAsia="Times New Roman" w:hAnsi="Times New Roman" w:cs="Times New Roman"/>
          <w:bCs/>
          <w:color w:val="000000"/>
          <w:spacing w:val="1"/>
          <w:kern w:val="2"/>
          <w:sz w:val="24"/>
          <w:szCs w:val="24"/>
          <w:lang w:eastAsia="ru-RU"/>
        </w:rPr>
        <w:t xml:space="preserve">Принятие решений о признании безнадежной к взысканию задолженности по платежам в бюджет </w:t>
      </w:r>
      <w:proofErr w:type="gramStart"/>
      <w:r w:rsidRPr="005B43E4">
        <w:rPr>
          <w:rFonts w:ascii="Times New Roman" w:eastAsia="Times New Roman" w:hAnsi="Times New Roman" w:cs="Times New Roman"/>
          <w:bCs/>
          <w:color w:val="000000"/>
          <w:spacing w:val="1"/>
          <w:kern w:val="2"/>
          <w:sz w:val="24"/>
          <w:szCs w:val="24"/>
          <w:lang w:eastAsia="ru-RU"/>
        </w:rPr>
        <w:t>и о ее</w:t>
      </w:r>
      <w:proofErr w:type="gramEnd"/>
      <w:r w:rsidRPr="005B43E4">
        <w:rPr>
          <w:rFonts w:ascii="Times New Roman" w:eastAsia="Times New Roman" w:hAnsi="Times New Roman" w:cs="Times New Roman"/>
          <w:bCs/>
          <w:color w:val="000000"/>
          <w:spacing w:val="1"/>
          <w:kern w:val="2"/>
          <w:sz w:val="24"/>
          <w:szCs w:val="24"/>
          <w:lang w:eastAsia="ru-RU"/>
        </w:rPr>
        <w:t xml:space="preserve"> списании (восстановлении) регламентировано статьей 47.2 БК РФ. Указанной статьей установлен исчерпывающий перечень случаев признания задолженности безнадежной к взысканию.</w:t>
      </w:r>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color w:val="000000"/>
          <w:spacing w:val="1"/>
          <w:kern w:val="2"/>
          <w:sz w:val="24"/>
          <w:szCs w:val="24"/>
          <w:lang w:eastAsia="ru-RU"/>
        </w:rPr>
      </w:pPr>
      <w:proofErr w:type="gramStart"/>
      <w:r w:rsidRPr="005B43E4">
        <w:rPr>
          <w:rFonts w:ascii="Times New Roman" w:eastAsia="Times New Roman" w:hAnsi="Times New Roman" w:cs="Times New Roman"/>
          <w:bCs/>
          <w:color w:val="000000"/>
          <w:spacing w:val="1"/>
          <w:kern w:val="2"/>
          <w:sz w:val="24"/>
          <w:szCs w:val="24"/>
          <w:lang w:eastAsia="ru-RU"/>
        </w:rPr>
        <w:t>Общие требования к порядку принятия решений о признании безнадежной к взысканию задолженности по платежам в бюджеты бюджетной системы Р</w:t>
      </w:r>
      <w:r w:rsidR="00B274D2">
        <w:rPr>
          <w:rFonts w:ascii="Times New Roman" w:eastAsia="Times New Roman" w:hAnsi="Times New Roman" w:cs="Times New Roman"/>
          <w:bCs/>
          <w:color w:val="000000"/>
          <w:spacing w:val="1"/>
          <w:kern w:val="2"/>
          <w:sz w:val="24"/>
          <w:szCs w:val="24"/>
          <w:lang w:eastAsia="ru-RU"/>
        </w:rPr>
        <w:t>Ф</w:t>
      </w:r>
      <w:r w:rsidRPr="005B43E4">
        <w:rPr>
          <w:rFonts w:ascii="Times New Roman" w:eastAsia="Times New Roman" w:hAnsi="Times New Roman" w:cs="Times New Roman"/>
          <w:bCs/>
          <w:color w:val="000000"/>
          <w:spacing w:val="1"/>
          <w:kern w:val="2"/>
          <w:sz w:val="24"/>
          <w:szCs w:val="24"/>
          <w:lang w:eastAsia="ru-RU"/>
        </w:rPr>
        <w:t xml:space="preserve"> установлены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(далее Постановление Правительства РФ от 06.05.2016 № 393).</w:t>
      </w:r>
      <w:proofErr w:type="gramEnd"/>
    </w:p>
    <w:p w:rsidR="002B1A14" w:rsidRPr="005B43E4" w:rsidRDefault="002B1A14" w:rsidP="002B1A14">
      <w:pPr>
        <w:tabs>
          <w:tab w:val="left" w:pos="45"/>
        </w:tabs>
        <w:suppressAutoHyphens/>
        <w:autoSpaceDE w:val="0"/>
        <w:spacing w:before="100" w:after="119" w:line="240" w:lineRule="atLeast"/>
        <w:ind w:firstLine="680"/>
        <w:contextualSpacing/>
        <w:jc w:val="both"/>
        <w:rPr>
          <w:rFonts w:ascii="Times New Roman" w:eastAsia="Times New Roman" w:hAnsi="Times New Roman" w:cs="Times New Roman"/>
          <w:bCs/>
          <w:spacing w:val="1"/>
          <w:kern w:val="2"/>
          <w:sz w:val="24"/>
          <w:szCs w:val="24"/>
          <w:lang w:eastAsia="ru-RU"/>
        </w:rPr>
      </w:pPr>
      <w:r w:rsidRPr="005B43E4">
        <w:rPr>
          <w:rFonts w:ascii="Times New Roman" w:eastAsia="Times New Roman" w:hAnsi="Times New Roman" w:cs="Times New Roman"/>
          <w:bCs/>
          <w:color w:val="000000"/>
          <w:spacing w:val="1"/>
          <w:kern w:val="2"/>
          <w:sz w:val="24"/>
          <w:szCs w:val="24"/>
          <w:lang w:eastAsia="ru-RU"/>
        </w:rPr>
        <w:t xml:space="preserve">Порядок принятия решений о признании безнадежной к взысканию задолженности по платежам </w:t>
      </w:r>
      <w:r w:rsidRPr="005B43E4">
        <w:rPr>
          <w:rFonts w:ascii="Times New Roman" w:eastAsia="Times New Roman" w:hAnsi="Times New Roman" w:cs="Times New Roman"/>
          <w:bCs/>
          <w:spacing w:val="1"/>
          <w:kern w:val="2"/>
          <w:sz w:val="24"/>
          <w:szCs w:val="24"/>
          <w:lang w:eastAsia="ru-RU"/>
        </w:rPr>
        <w:t xml:space="preserve">в бюджет Кежемского района утвержден приказом Управления имущественных отношений от 29.12.2016г. № 197 (далее Порядок № 197-п). </w:t>
      </w:r>
    </w:p>
    <w:p w:rsidR="002B1A14" w:rsidRPr="005B43E4"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B43E4">
        <w:rPr>
          <w:rFonts w:ascii="Times New Roman" w:eastAsia="Times New Roman" w:hAnsi="Times New Roman" w:cs="Times New Roman"/>
          <w:sz w:val="24"/>
          <w:szCs w:val="24"/>
          <w:lang w:eastAsia="ru-RU"/>
        </w:rPr>
        <w:lastRenderedPageBreak/>
        <w:t xml:space="preserve">Проверкой установлено, что в локальном нормативном акте </w:t>
      </w:r>
      <w:r w:rsidRPr="005B43E4">
        <w:rPr>
          <w:rFonts w:ascii="Times New Roman" w:eastAsia="Times New Roman" w:hAnsi="Times New Roman" w:cs="Times New Roman"/>
          <w:bCs/>
          <w:spacing w:val="1"/>
          <w:kern w:val="2"/>
          <w:sz w:val="24"/>
          <w:szCs w:val="24"/>
          <w:lang w:eastAsia="ru-RU"/>
        </w:rPr>
        <w:t>Управления имущественных отношений (Порядок № 197-п)</w:t>
      </w:r>
      <w:r w:rsidRPr="005B43E4">
        <w:rPr>
          <w:rFonts w:ascii="Times New Roman" w:eastAsia="Times New Roman" w:hAnsi="Times New Roman" w:cs="Times New Roman"/>
          <w:sz w:val="24"/>
          <w:szCs w:val="24"/>
          <w:lang w:eastAsia="ru-RU"/>
        </w:rPr>
        <w:t xml:space="preserve">, регулирующем условия и порядок принятия решений о признании безнадежной к взысканию задолженности по неналоговым платежам,  </w:t>
      </w:r>
      <w:r w:rsidRPr="005B43E4">
        <w:rPr>
          <w:rFonts w:ascii="Times New Roman" w:eastAsia="Calibri" w:hAnsi="Times New Roman" w:cs="Times New Roman"/>
          <w:sz w:val="24"/>
          <w:szCs w:val="24"/>
        </w:rPr>
        <w:t>применяется неактуальная редакция статьи 47.2 Бюджетного кодекса РФ,</w:t>
      </w:r>
      <w:r w:rsidRPr="005B43E4">
        <w:rPr>
          <w:rFonts w:ascii="Times New Roman" w:eastAsia="Times New Roman" w:hAnsi="Times New Roman" w:cs="Times New Roman"/>
          <w:sz w:val="24"/>
          <w:szCs w:val="24"/>
          <w:lang w:eastAsia="ru-RU"/>
        </w:rPr>
        <w:t xml:space="preserve"> что может привести к серьезным нарушениям в определении</w:t>
      </w:r>
      <w:r w:rsidR="005B43E4">
        <w:rPr>
          <w:rFonts w:ascii="Times New Roman" w:eastAsia="Times New Roman" w:hAnsi="Times New Roman" w:cs="Times New Roman"/>
          <w:sz w:val="24"/>
          <w:szCs w:val="24"/>
          <w:lang w:eastAsia="ru-RU"/>
        </w:rPr>
        <w:t xml:space="preserve"> </w:t>
      </w:r>
      <w:r w:rsidRPr="005B43E4">
        <w:rPr>
          <w:rFonts w:ascii="Times New Roman" w:eastAsia="Times New Roman" w:hAnsi="Times New Roman" w:cs="Times New Roman"/>
          <w:sz w:val="24"/>
          <w:szCs w:val="24"/>
          <w:lang w:eastAsia="ru-RU"/>
        </w:rPr>
        <w:t>безнадежной к взысканию задолженности.</w:t>
      </w:r>
    </w:p>
    <w:p w:rsidR="002B1A14" w:rsidRPr="002B1A14"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bCs/>
          <w:color w:val="FF0000"/>
          <w:sz w:val="28"/>
          <w:szCs w:val="28"/>
        </w:rPr>
      </w:pPr>
      <w:r w:rsidRPr="005B43E4">
        <w:rPr>
          <w:rFonts w:ascii="Times New Roman" w:eastAsia="Calibri" w:hAnsi="Times New Roman" w:cs="Times New Roman"/>
          <w:bCs/>
          <w:sz w:val="24"/>
          <w:szCs w:val="24"/>
        </w:rPr>
        <w:t xml:space="preserve">В районном бюджете, </w:t>
      </w:r>
      <w:proofErr w:type="gramStart"/>
      <w:r w:rsidRPr="005B43E4">
        <w:rPr>
          <w:rFonts w:ascii="Times New Roman" w:eastAsia="Calibri" w:hAnsi="Times New Roman" w:cs="Times New Roman"/>
          <w:bCs/>
          <w:sz w:val="24"/>
          <w:szCs w:val="24"/>
        </w:rPr>
        <w:t>согласно</w:t>
      </w:r>
      <w:proofErr w:type="gramEnd"/>
      <w:r w:rsidRPr="005B43E4">
        <w:rPr>
          <w:rFonts w:ascii="Times New Roman" w:eastAsia="Calibri" w:hAnsi="Times New Roman" w:cs="Times New Roman"/>
          <w:bCs/>
          <w:sz w:val="24"/>
          <w:szCs w:val="24"/>
        </w:rPr>
        <w:t xml:space="preserve"> годового отчета за 2023 год доходы </w:t>
      </w:r>
      <w:r w:rsidRPr="005B43E4">
        <w:rPr>
          <w:rFonts w:ascii="Times New Roman" w:eastAsia="Times New Roman" w:hAnsi="Times New Roman" w:cs="Times New Roman"/>
          <w:sz w:val="24"/>
          <w:szCs w:val="24"/>
          <w:lang w:eastAsia="ru-RU"/>
        </w:rPr>
        <w:t>от использования имущества, находящегося в государственной и муниципальной собственности</w:t>
      </w:r>
      <w:r w:rsidRPr="005B43E4">
        <w:rPr>
          <w:rFonts w:ascii="Times New Roman" w:eastAsia="Calibri" w:hAnsi="Times New Roman" w:cs="Times New Roman"/>
          <w:bCs/>
          <w:sz w:val="24"/>
          <w:szCs w:val="24"/>
        </w:rPr>
        <w:t xml:space="preserve"> в структуре неналоговых доходов составляют 82,9%.</w:t>
      </w:r>
    </w:p>
    <w:tbl>
      <w:tblPr>
        <w:tblW w:w="9654" w:type="dxa"/>
        <w:tblInd w:w="93" w:type="dxa"/>
        <w:tblLook w:val="04A0" w:firstRow="1" w:lastRow="0" w:firstColumn="1" w:lastColumn="0" w:noHBand="0" w:noVBand="1"/>
      </w:tblPr>
      <w:tblGrid>
        <w:gridCol w:w="3701"/>
        <w:gridCol w:w="1984"/>
        <w:gridCol w:w="1985"/>
        <w:gridCol w:w="1984"/>
      </w:tblGrid>
      <w:tr w:rsidR="002B1A14" w:rsidRPr="002B1A14" w:rsidTr="00226B6B">
        <w:trPr>
          <w:trHeight w:val="612"/>
        </w:trPr>
        <w:tc>
          <w:tcPr>
            <w:tcW w:w="3701" w:type="dxa"/>
            <w:vMerge w:val="restart"/>
            <w:tcBorders>
              <w:top w:val="single" w:sz="8" w:space="0" w:color="auto"/>
              <w:left w:val="single" w:sz="8" w:space="0" w:color="auto"/>
              <w:bottom w:val="single" w:sz="8" w:space="0" w:color="000000"/>
              <w:right w:val="single" w:sz="4" w:space="0" w:color="auto"/>
            </w:tcBorders>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p>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p>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Наименование доходов</w:t>
            </w:r>
          </w:p>
        </w:tc>
        <w:tc>
          <w:tcPr>
            <w:tcW w:w="1984" w:type="dxa"/>
            <w:tcBorders>
              <w:top w:val="single" w:sz="4" w:space="0" w:color="auto"/>
              <w:left w:val="single" w:sz="4" w:space="0" w:color="auto"/>
              <w:bottom w:val="single" w:sz="4" w:space="0" w:color="auto"/>
              <w:right w:val="single" w:sz="4" w:space="0" w:color="auto"/>
            </w:tcBorders>
            <w:hideMark/>
          </w:tcPr>
          <w:p w:rsidR="002B1A14" w:rsidRPr="002B1A14" w:rsidRDefault="002B1A14" w:rsidP="002B1A14">
            <w:pPr>
              <w:spacing w:after="160" w:line="256" w:lineRule="auto"/>
              <w:rPr>
                <w:rFonts w:ascii="Calibri" w:eastAsia="Calibri" w:hAnsi="Calibri" w:cs="Times New Roman"/>
              </w:rPr>
            </w:pPr>
            <w:r w:rsidRPr="002B1A14">
              <w:rPr>
                <w:rFonts w:ascii="Times New Roman" w:eastAsia="Times New Roman" w:hAnsi="Times New Roman" w:cs="Times New Roman"/>
                <w:sz w:val="16"/>
                <w:szCs w:val="16"/>
                <w:lang w:eastAsia="ru-RU"/>
              </w:rPr>
              <w:t>Фактически исполнены доходы согласно Отчету об исполнении бюджета за 2022 год</w:t>
            </w:r>
          </w:p>
        </w:tc>
        <w:tc>
          <w:tcPr>
            <w:tcW w:w="1985" w:type="dxa"/>
            <w:tcBorders>
              <w:top w:val="single" w:sz="8" w:space="0" w:color="auto"/>
              <w:left w:val="single" w:sz="4" w:space="0" w:color="auto"/>
              <w:bottom w:val="single" w:sz="8" w:space="0" w:color="000000"/>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Фактически исполнены доходы согласно Отчету об исполнении бюджета за 2023 год</w:t>
            </w:r>
          </w:p>
        </w:tc>
        <w:tc>
          <w:tcPr>
            <w:tcW w:w="1984" w:type="dxa"/>
            <w:tcBorders>
              <w:top w:val="single" w:sz="4" w:space="0" w:color="auto"/>
              <w:left w:val="single" w:sz="4" w:space="0" w:color="auto"/>
              <w:bottom w:val="single" w:sz="4" w:space="0" w:color="auto"/>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Ожидаемое исполнение бюджета за 2024 год</w:t>
            </w:r>
          </w:p>
        </w:tc>
      </w:tr>
      <w:tr w:rsidR="002B1A14" w:rsidRPr="002B1A14" w:rsidTr="00226B6B">
        <w:trPr>
          <w:trHeight w:val="74"/>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тыс. руб.</w:t>
            </w:r>
          </w:p>
        </w:tc>
        <w:tc>
          <w:tcPr>
            <w:tcW w:w="1985" w:type="dxa"/>
            <w:tcBorders>
              <w:top w:val="nil"/>
              <w:left w:val="single" w:sz="4" w:space="0" w:color="auto"/>
              <w:bottom w:val="single" w:sz="8" w:space="0" w:color="auto"/>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тыс. руб.</w:t>
            </w:r>
          </w:p>
        </w:tc>
        <w:tc>
          <w:tcPr>
            <w:tcW w:w="1984" w:type="dxa"/>
            <w:tcBorders>
              <w:top w:val="single" w:sz="4" w:space="0" w:color="auto"/>
              <w:left w:val="single" w:sz="4" w:space="0" w:color="auto"/>
              <w:bottom w:val="single" w:sz="4" w:space="0" w:color="auto"/>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тыс. руб.</w:t>
            </w:r>
          </w:p>
        </w:tc>
      </w:tr>
      <w:tr w:rsidR="002B1A14" w:rsidRPr="002B1A14" w:rsidTr="002B1A14">
        <w:trPr>
          <w:trHeight w:val="116"/>
        </w:trPr>
        <w:tc>
          <w:tcPr>
            <w:tcW w:w="3701" w:type="dxa"/>
            <w:tcBorders>
              <w:top w:val="nil"/>
              <w:left w:val="single" w:sz="8" w:space="0" w:color="auto"/>
              <w:bottom w:val="nil"/>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2</w:t>
            </w:r>
          </w:p>
        </w:tc>
        <w:tc>
          <w:tcPr>
            <w:tcW w:w="1985" w:type="dxa"/>
            <w:tcBorders>
              <w:top w:val="nil"/>
              <w:left w:val="single" w:sz="4" w:space="0" w:color="auto"/>
              <w:bottom w:val="nil"/>
              <w:right w:val="single" w:sz="8"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3</w:t>
            </w:r>
          </w:p>
        </w:tc>
        <w:tc>
          <w:tcPr>
            <w:tcW w:w="1984" w:type="dxa"/>
            <w:tcBorders>
              <w:top w:val="single" w:sz="4" w:space="0" w:color="auto"/>
              <w:left w:val="nil"/>
              <w:bottom w:val="nil"/>
              <w:right w:val="single" w:sz="8"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4</w:t>
            </w:r>
          </w:p>
        </w:tc>
      </w:tr>
      <w:tr w:rsidR="002B1A14" w:rsidRPr="002B1A14" w:rsidTr="00B274D2">
        <w:trPr>
          <w:trHeight w:val="634"/>
        </w:trPr>
        <w:tc>
          <w:tcPr>
            <w:tcW w:w="370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rPr>
                <w:rFonts w:ascii="Times New Roman" w:eastAsia="Times New Roman" w:hAnsi="Times New Roman" w:cs="Times New Roman"/>
                <w:b/>
                <w:sz w:val="16"/>
                <w:szCs w:val="16"/>
                <w:lang w:eastAsia="ru-RU"/>
              </w:rPr>
            </w:pPr>
            <w:r w:rsidRPr="002B1A14">
              <w:rPr>
                <w:rFonts w:ascii="Times New Roman" w:eastAsia="Times New Roman" w:hAnsi="Times New Roman" w:cs="Times New Roman"/>
                <w:b/>
                <w:sz w:val="16"/>
                <w:szCs w:val="16"/>
                <w:lang w:eastAsia="ru-RU"/>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34 085,48668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25818,64156</w:t>
            </w:r>
          </w:p>
        </w:tc>
        <w:tc>
          <w:tcPr>
            <w:tcW w:w="1984" w:type="dxa"/>
            <w:tcBorders>
              <w:top w:val="single" w:sz="4" w:space="0" w:color="auto"/>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24 590,58</w:t>
            </w:r>
          </w:p>
        </w:tc>
      </w:tr>
      <w:tr w:rsidR="002B1A14" w:rsidRPr="002B1A14" w:rsidTr="00226B6B">
        <w:trPr>
          <w:trHeight w:val="1573"/>
        </w:trPr>
        <w:tc>
          <w:tcPr>
            <w:tcW w:w="370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rPr>
                <w:rFonts w:ascii="Times New Roman" w:eastAsia="Times New Roman" w:hAnsi="Times New Roman" w:cs="Times New Roman"/>
                <w:b/>
                <w:sz w:val="16"/>
                <w:szCs w:val="16"/>
                <w:lang w:eastAsia="ru-RU"/>
              </w:rPr>
            </w:pPr>
            <w:proofErr w:type="gramStart"/>
            <w:r w:rsidRPr="002B1A14">
              <w:rPr>
                <w:rFonts w:ascii="Times New Roman" w:eastAsia="Calibri" w:hAnsi="Times New Roman" w:cs="Times New Roman"/>
                <w:b/>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14 779,279</w:t>
            </w:r>
          </w:p>
        </w:tc>
        <w:tc>
          <w:tcPr>
            <w:tcW w:w="1985" w:type="dxa"/>
            <w:tcBorders>
              <w:top w:val="single" w:sz="4" w:space="0" w:color="auto"/>
              <w:left w:val="single" w:sz="4" w:space="0" w:color="auto"/>
              <w:bottom w:val="single" w:sz="4" w:space="0" w:color="auto"/>
              <w:right w:val="single" w:sz="4" w:space="0" w:color="auto"/>
            </w:tcBorders>
            <w:vAlign w:val="center"/>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12 250,32749</w:t>
            </w:r>
          </w:p>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12 010,18</w:t>
            </w:r>
          </w:p>
        </w:tc>
      </w:tr>
      <w:tr w:rsidR="002B1A14" w:rsidRPr="002B1A14" w:rsidTr="00A20B4B">
        <w:trPr>
          <w:trHeight w:val="561"/>
        </w:trPr>
        <w:tc>
          <w:tcPr>
            <w:tcW w:w="370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rPr>
                <w:rFonts w:ascii="Times New Roman" w:eastAsia="Times New Roman" w:hAnsi="Times New Roman" w:cs="Times New Roman"/>
                <w:b/>
                <w:sz w:val="16"/>
                <w:szCs w:val="16"/>
                <w:lang w:eastAsia="ru-RU"/>
              </w:rPr>
            </w:pPr>
            <w:r w:rsidRPr="002B1A14">
              <w:rPr>
                <w:rFonts w:ascii="Times New Roman" w:eastAsia="Calibri" w:hAnsi="Times New Roman" w:cs="Times New Roman"/>
                <w:b/>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1984" w:type="dxa"/>
            <w:tcBorders>
              <w:top w:val="single" w:sz="4" w:space="0" w:color="auto"/>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19 236,51869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13 550, 84711</w:t>
            </w:r>
          </w:p>
        </w:tc>
        <w:tc>
          <w:tcPr>
            <w:tcW w:w="1984" w:type="dxa"/>
            <w:tcBorders>
              <w:top w:val="single" w:sz="4" w:space="0" w:color="auto"/>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12 570,4</w:t>
            </w:r>
          </w:p>
        </w:tc>
      </w:tr>
      <w:tr w:rsidR="002B1A14" w:rsidRPr="002B1A14" w:rsidTr="002B1A14">
        <w:trPr>
          <w:trHeight w:val="294"/>
        </w:trPr>
        <w:tc>
          <w:tcPr>
            <w:tcW w:w="3701" w:type="dxa"/>
            <w:tcBorders>
              <w:top w:val="nil"/>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rPr>
                <w:rFonts w:ascii="Times New Roman" w:eastAsia="Times New Roman" w:hAnsi="Times New Roman" w:cs="Times New Roman"/>
                <w:b/>
                <w:sz w:val="16"/>
                <w:szCs w:val="16"/>
                <w:lang w:eastAsia="ru-RU"/>
              </w:rPr>
            </w:pPr>
            <w:r w:rsidRPr="002B1A14">
              <w:rPr>
                <w:rFonts w:ascii="Times New Roman" w:eastAsia="Times New Roman" w:hAnsi="Times New Roman" w:cs="Times New Roman"/>
                <w:b/>
                <w:color w:val="000000"/>
                <w:sz w:val="16"/>
                <w:szCs w:val="16"/>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roofErr w:type="gramStart"/>
            <w:r w:rsidRPr="002B1A14">
              <w:rPr>
                <w:rFonts w:ascii="Times New Roman" w:eastAsia="Times New Roman" w:hAnsi="Times New Roman" w:cs="Times New Roman"/>
                <w:b/>
                <w:color w:val="000000"/>
                <w:sz w:val="16"/>
                <w:szCs w:val="16"/>
                <w:lang w:eastAsia="ru-RU"/>
              </w:rPr>
              <w:t xml:space="preserve">( </w:t>
            </w:r>
            <w:proofErr w:type="gramEnd"/>
            <w:r w:rsidRPr="002B1A14">
              <w:rPr>
                <w:rFonts w:ascii="Times New Roman" w:eastAsia="Times New Roman" w:hAnsi="Times New Roman" w:cs="Times New Roman"/>
                <w:b/>
                <w:color w:val="000000"/>
                <w:sz w:val="16"/>
                <w:szCs w:val="16"/>
                <w:lang w:eastAsia="ru-RU"/>
              </w:rPr>
              <w:t>сумма платежа (перерасчеты, недоимка и задолженность по соответствующему платежу, в том числе по отмененному))</w:t>
            </w:r>
          </w:p>
        </w:tc>
        <w:tc>
          <w:tcPr>
            <w:tcW w:w="1984" w:type="dxa"/>
            <w:tcBorders>
              <w:top w:val="single" w:sz="4" w:space="0" w:color="auto"/>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69,68899</w:t>
            </w:r>
          </w:p>
        </w:tc>
        <w:tc>
          <w:tcPr>
            <w:tcW w:w="1985" w:type="dxa"/>
            <w:tcBorders>
              <w:top w:val="nil"/>
              <w:left w:val="single" w:sz="4" w:space="0" w:color="auto"/>
              <w:bottom w:val="single" w:sz="4" w:space="0" w:color="auto"/>
              <w:right w:val="single" w:sz="4" w:space="0" w:color="auto"/>
            </w:tcBorders>
            <w:vAlign w:val="center"/>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15,13696</w:t>
            </w:r>
          </w:p>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p>
        </w:tc>
        <w:tc>
          <w:tcPr>
            <w:tcW w:w="1984" w:type="dxa"/>
            <w:tcBorders>
              <w:top w:val="nil"/>
              <w:left w:val="nil"/>
              <w:bottom w:val="single" w:sz="4" w:space="0" w:color="auto"/>
              <w:right w:val="single" w:sz="4" w:space="0" w:color="auto"/>
            </w:tcBorders>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10,0</w:t>
            </w:r>
          </w:p>
        </w:tc>
      </w:tr>
      <w:tr w:rsidR="002B1A14" w:rsidRPr="002B1A14" w:rsidTr="002B1A14">
        <w:trPr>
          <w:trHeight w:val="439"/>
        </w:trPr>
        <w:tc>
          <w:tcPr>
            <w:tcW w:w="370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26B6B">
            <w:pPr>
              <w:spacing w:after="0" w:line="240" w:lineRule="auto"/>
              <w:rPr>
                <w:rFonts w:ascii="Times New Roman" w:eastAsia="Times New Roman" w:hAnsi="Times New Roman" w:cs="Times New Roman"/>
                <w:b/>
                <w:sz w:val="16"/>
                <w:szCs w:val="16"/>
                <w:lang w:eastAsia="ru-RU"/>
              </w:rPr>
            </w:pPr>
            <w:r w:rsidRPr="002B1A14">
              <w:rPr>
                <w:rFonts w:ascii="Times New Roman" w:eastAsia="Times New Roman" w:hAnsi="Times New Roman" w:cs="Times New Roman"/>
                <w:b/>
                <w:color w:val="000000"/>
                <w:sz w:val="16"/>
                <w:szCs w:val="16"/>
                <w:lang w:eastAsia="ru-RU"/>
              </w:rPr>
              <w:t>Невыясненные поступления, зачисляемые в бюджеты муниципальных районов</w:t>
            </w:r>
          </w:p>
        </w:tc>
        <w:tc>
          <w:tcPr>
            <w:tcW w:w="1984" w:type="dxa"/>
            <w:tcBorders>
              <w:top w:val="single" w:sz="4" w:space="0" w:color="auto"/>
              <w:left w:val="single" w:sz="4" w:space="0" w:color="auto"/>
              <w:bottom w:val="single" w:sz="4" w:space="0" w:color="auto"/>
              <w:right w:val="single" w:sz="4" w:space="0" w:color="auto"/>
            </w:tcBorders>
            <w:vAlign w:val="center"/>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2,330</w:t>
            </w:r>
          </w:p>
        </w:tc>
        <w:tc>
          <w:tcPr>
            <w:tcW w:w="1984" w:type="dxa"/>
            <w:tcBorders>
              <w:top w:val="single" w:sz="4" w:space="0" w:color="auto"/>
              <w:left w:val="single" w:sz="4" w:space="0" w:color="auto"/>
              <w:bottom w:val="single" w:sz="4" w:space="0" w:color="auto"/>
              <w:right w:val="single" w:sz="4" w:space="0" w:color="auto"/>
            </w:tcBorders>
            <w:noWrap/>
            <w:vAlign w:val="center"/>
          </w:tcPr>
          <w:p w:rsidR="002B1A14" w:rsidRPr="002B1A14" w:rsidRDefault="002B1A14" w:rsidP="00226B6B">
            <w:pPr>
              <w:spacing w:after="0" w:line="240" w:lineRule="auto"/>
              <w:jc w:val="center"/>
              <w:rPr>
                <w:rFonts w:ascii="Times New Roman" w:eastAsia="Times New Roman" w:hAnsi="Times New Roman" w:cs="Times New Roman"/>
                <w:sz w:val="16"/>
                <w:szCs w:val="16"/>
                <w:lang w:eastAsia="ru-RU"/>
              </w:rPr>
            </w:pPr>
          </w:p>
        </w:tc>
      </w:tr>
    </w:tbl>
    <w:p w:rsidR="002B1A14" w:rsidRPr="005B43E4" w:rsidRDefault="002B1A14" w:rsidP="00D4719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B43E4">
        <w:rPr>
          <w:rFonts w:ascii="Times New Roman" w:eastAsia="Calibri" w:hAnsi="Times New Roman" w:cs="Times New Roman"/>
          <w:bCs/>
          <w:sz w:val="24"/>
          <w:szCs w:val="24"/>
        </w:rPr>
        <w:t>В структуре д</w:t>
      </w:r>
      <w:r w:rsidRPr="005B43E4">
        <w:rPr>
          <w:rFonts w:ascii="Times New Roman" w:eastAsia="Times New Roman" w:hAnsi="Times New Roman" w:cs="Times New Roman"/>
          <w:sz w:val="24"/>
          <w:szCs w:val="24"/>
          <w:lang w:eastAsia="ru-RU"/>
        </w:rPr>
        <w:t>оходов от использования имущества, находящегося в муниципальной собственности</w:t>
      </w:r>
      <w:r w:rsidR="005B43E4" w:rsidRPr="005B43E4">
        <w:rPr>
          <w:rFonts w:ascii="Times New Roman" w:eastAsia="Times New Roman" w:hAnsi="Times New Roman" w:cs="Times New Roman"/>
          <w:sz w:val="24"/>
          <w:szCs w:val="24"/>
          <w:lang w:eastAsia="ru-RU"/>
        </w:rPr>
        <w:t xml:space="preserve"> </w:t>
      </w:r>
      <w:r w:rsidRPr="005B43E4">
        <w:rPr>
          <w:rFonts w:ascii="Times New Roman" w:eastAsia="Calibri" w:hAnsi="Times New Roman" w:cs="Times New Roman"/>
          <w:bCs/>
          <w:sz w:val="24"/>
          <w:szCs w:val="24"/>
        </w:rPr>
        <w:t>наибольший объем платежей формируется за счет д</w:t>
      </w:r>
      <w:r w:rsidRPr="005B43E4">
        <w:rPr>
          <w:rFonts w:ascii="Times New Roman" w:eastAsia="Calibri" w:hAnsi="Times New Roman" w:cs="Times New Roman"/>
          <w:sz w:val="24"/>
          <w:szCs w:val="24"/>
        </w:rPr>
        <w:t>оходов от сдачи в аренду имущества, составляющего казну муниципальных районов (за исключением земельных участков) - 52,5 %,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w:t>
      </w:r>
      <w:proofErr w:type="gramEnd"/>
      <w:r w:rsidRPr="005B43E4">
        <w:rPr>
          <w:rFonts w:ascii="Times New Roman" w:eastAsia="Calibri" w:hAnsi="Times New Roman" w:cs="Times New Roman"/>
          <w:sz w:val="24"/>
          <w:szCs w:val="24"/>
        </w:rPr>
        <w:t xml:space="preserve"> средств от продажи права на заключение договоров аренды указанных земельных участков – 47,4%.</w:t>
      </w:r>
    </w:p>
    <w:p w:rsidR="002B1A14" w:rsidRPr="00B519DE" w:rsidRDefault="002B1A14" w:rsidP="00D471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43E4">
        <w:rPr>
          <w:rFonts w:ascii="Times New Roman" w:eastAsia="Calibri" w:hAnsi="Times New Roman" w:cs="Times New Roman"/>
          <w:sz w:val="24"/>
          <w:szCs w:val="24"/>
        </w:rPr>
        <w:t xml:space="preserve">По данным годовой отчетности за 2023 финансовый год дебиторская задолженность УИО </w:t>
      </w:r>
      <w:r w:rsidRPr="005B43E4">
        <w:rPr>
          <w:rFonts w:ascii="Times New Roman" w:eastAsia="Times New Roman" w:hAnsi="Times New Roman" w:cs="Times New Roman"/>
          <w:sz w:val="24"/>
          <w:szCs w:val="24"/>
          <w:lang w:eastAsia="ru-RU"/>
        </w:rPr>
        <w:t xml:space="preserve">на начало отчетного периода составила </w:t>
      </w:r>
      <w:r w:rsidRPr="005B43E4">
        <w:rPr>
          <w:rFonts w:ascii="Times New Roman" w:eastAsia="Times New Roman" w:hAnsi="Times New Roman" w:cs="Times New Roman"/>
          <w:bCs/>
          <w:sz w:val="24"/>
          <w:szCs w:val="24"/>
          <w:lang w:eastAsia="ru-RU"/>
        </w:rPr>
        <w:t>16 356 094,64</w:t>
      </w:r>
      <w:r w:rsidRPr="005B43E4">
        <w:rPr>
          <w:rFonts w:ascii="Times New Roman" w:eastAsia="Times New Roman" w:hAnsi="Times New Roman" w:cs="Times New Roman"/>
          <w:sz w:val="24"/>
          <w:szCs w:val="24"/>
          <w:lang w:eastAsia="ru-RU"/>
        </w:rPr>
        <w:t xml:space="preserve"> рублей. </w:t>
      </w:r>
      <w:proofErr w:type="gramStart"/>
      <w:r w:rsidRPr="005B43E4">
        <w:rPr>
          <w:rFonts w:ascii="Times New Roman" w:eastAsia="Times New Roman" w:hAnsi="Times New Roman" w:cs="Times New Roman"/>
          <w:sz w:val="24"/>
          <w:szCs w:val="24"/>
          <w:lang w:eastAsia="ru-RU"/>
        </w:rPr>
        <w:t>На конец</w:t>
      </w:r>
      <w:proofErr w:type="gramEnd"/>
      <w:r w:rsidRPr="005B43E4">
        <w:rPr>
          <w:rFonts w:ascii="Times New Roman" w:eastAsia="Times New Roman" w:hAnsi="Times New Roman" w:cs="Times New Roman"/>
          <w:sz w:val="24"/>
          <w:szCs w:val="24"/>
          <w:lang w:eastAsia="ru-RU"/>
        </w:rPr>
        <w:t xml:space="preserve"> 2023 года </w:t>
      </w:r>
      <w:r w:rsidRPr="00B519DE">
        <w:rPr>
          <w:rFonts w:ascii="Times New Roman" w:eastAsia="Times New Roman" w:hAnsi="Times New Roman" w:cs="Times New Roman"/>
          <w:sz w:val="24"/>
          <w:szCs w:val="24"/>
          <w:lang w:eastAsia="ru-RU"/>
        </w:rPr>
        <w:t xml:space="preserve">дебиторская задолженность увеличилась на +1 423 033,9 рублей и составила </w:t>
      </w:r>
      <w:r w:rsidRPr="00B519DE">
        <w:rPr>
          <w:rFonts w:ascii="Times New Roman" w:eastAsia="Times New Roman" w:hAnsi="Times New Roman" w:cs="Times New Roman"/>
          <w:bCs/>
          <w:sz w:val="24"/>
          <w:szCs w:val="24"/>
          <w:lang w:eastAsia="ru-RU"/>
        </w:rPr>
        <w:t>25 009 737,17</w:t>
      </w:r>
      <w:r w:rsidRPr="00B519DE">
        <w:rPr>
          <w:rFonts w:ascii="Times New Roman" w:eastAsia="Times New Roman" w:hAnsi="Times New Roman" w:cs="Times New Roman"/>
          <w:sz w:val="24"/>
          <w:szCs w:val="24"/>
          <w:lang w:eastAsia="ru-RU"/>
        </w:rPr>
        <w:t>рублей. По состоянию на 01.11.2024 года дебиторская задолженность составила 34 836 474,83 рублей, рост дебиторской задолженности за  десять месяцев составил + 9 826 737,66 рублей, или на 39,3 %.</w:t>
      </w:r>
    </w:p>
    <w:p w:rsidR="002B1A14" w:rsidRPr="005B43E4" w:rsidRDefault="002B1A14" w:rsidP="00D471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19DE">
        <w:rPr>
          <w:rFonts w:ascii="Times New Roman" w:eastAsia="Times New Roman" w:hAnsi="Times New Roman" w:cs="Times New Roman"/>
          <w:sz w:val="24"/>
          <w:szCs w:val="24"/>
          <w:lang w:eastAsia="ru-RU"/>
        </w:rPr>
        <w:t xml:space="preserve">   Динамика</w:t>
      </w:r>
      <w:r w:rsidRPr="005B43E4">
        <w:rPr>
          <w:rFonts w:ascii="Times New Roman" w:eastAsia="Times New Roman" w:hAnsi="Times New Roman" w:cs="Times New Roman"/>
          <w:sz w:val="24"/>
          <w:szCs w:val="24"/>
          <w:lang w:eastAsia="ru-RU"/>
        </w:rPr>
        <w:t xml:space="preserve"> и структура дебиторской задолженности за проверяемый период представлена в таблице.</w:t>
      </w:r>
    </w:p>
    <w:p w:rsidR="002B1A14" w:rsidRPr="002B1A14" w:rsidRDefault="00226B6B" w:rsidP="002B1A14">
      <w:pPr>
        <w:autoSpaceDE w:val="0"/>
        <w:autoSpaceDN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16"/>
          <w:lang w:eastAsia="ru-RU"/>
        </w:rPr>
        <w:t>т</w:t>
      </w:r>
      <w:r w:rsidR="002B1A14" w:rsidRPr="002B1A14">
        <w:rPr>
          <w:rFonts w:ascii="Times New Roman" w:eastAsia="Times New Roman" w:hAnsi="Times New Roman" w:cs="Times New Roman"/>
          <w:sz w:val="16"/>
          <w:szCs w:val="16"/>
          <w:lang w:eastAsia="ru-RU"/>
        </w:rPr>
        <w:t>аблица  руб</w:t>
      </w:r>
      <w:r w:rsidR="002B1A14" w:rsidRPr="002B1A14">
        <w:rPr>
          <w:rFonts w:ascii="Times New Roman" w:eastAsia="Times New Roman" w:hAnsi="Times New Roman" w:cs="Times New Roman"/>
          <w:sz w:val="28"/>
          <w:szCs w:val="28"/>
          <w:lang w:eastAsia="ru-RU"/>
        </w:rPr>
        <w:t>.</w:t>
      </w:r>
    </w:p>
    <w:tbl>
      <w:tblPr>
        <w:tblW w:w="9651" w:type="dxa"/>
        <w:tblInd w:w="96" w:type="dxa"/>
        <w:tblLook w:val="04A0" w:firstRow="1" w:lastRow="0" w:firstColumn="1" w:lastColumn="0" w:noHBand="0" w:noVBand="1"/>
      </w:tblPr>
      <w:tblGrid>
        <w:gridCol w:w="1971"/>
        <w:gridCol w:w="1559"/>
        <w:gridCol w:w="1585"/>
        <w:gridCol w:w="1520"/>
        <w:gridCol w:w="1487"/>
        <w:gridCol w:w="1529"/>
      </w:tblGrid>
      <w:tr w:rsidR="002B1A14" w:rsidRPr="002B1A14" w:rsidTr="002B1A14">
        <w:trPr>
          <w:trHeight w:val="315"/>
        </w:trPr>
        <w:tc>
          <w:tcPr>
            <w:tcW w:w="1971" w:type="dxa"/>
            <w:vMerge w:val="restart"/>
            <w:tcBorders>
              <w:top w:val="single" w:sz="8" w:space="0" w:color="auto"/>
              <w:left w:val="single" w:sz="8" w:space="0" w:color="auto"/>
              <w:bottom w:val="nil"/>
              <w:right w:val="single" w:sz="8" w:space="0" w:color="auto"/>
            </w:tcBorders>
            <w:vAlign w:val="bottom"/>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Номер (код БК) счета бюджетного учета</w:t>
            </w:r>
          </w:p>
        </w:tc>
        <w:tc>
          <w:tcPr>
            <w:tcW w:w="4664" w:type="dxa"/>
            <w:gridSpan w:val="3"/>
            <w:tcBorders>
              <w:top w:val="single" w:sz="8" w:space="0" w:color="auto"/>
              <w:left w:val="nil"/>
              <w:bottom w:val="single" w:sz="8" w:space="0" w:color="auto"/>
              <w:right w:val="single" w:sz="4" w:space="0" w:color="000000"/>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2023 год</w:t>
            </w:r>
          </w:p>
        </w:tc>
        <w:tc>
          <w:tcPr>
            <w:tcW w:w="1487" w:type="dxa"/>
            <w:tcBorders>
              <w:top w:val="single" w:sz="8" w:space="0" w:color="auto"/>
              <w:left w:val="nil"/>
              <w:bottom w:val="single" w:sz="8" w:space="0" w:color="auto"/>
              <w:right w:val="single" w:sz="4" w:space="0" w:color="000000"/>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2024</w:t>
            </w:r>
          </w:p>
        </w:tc>
        <w:tc>
          <w:tcPr>
            <w:tcW w:w="1529" w:type="dxa"/>
            <w:tcBorders>
              <w:top w:val="single" w:sz="8" w:space="0" w:color="auto"/>
              <w:left w:val="nil"/>
              <w:bottom w:val="single" w:sz="8" w:space="0" w:color="auto"/>
              <w:right w:val="single" w:sz="4" w:space="0" w:color="000000"/>
            </w:tcBorders>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r>
      <w:tr w:rsidR="002B1A14" w:rsidRPr="002B1A14" w:rsidTr="002B1A14">
        <w:trPr>
          <w:trHeight w:val="315"/>
        </w:trPr>
        <w:tc>
          <w:tcPr>
            <w:tcW w:w="0" w:type="auto"/>
            <w:vMerge/>
            <w:tcBorders>
              <w:top w:val="single" w:sz="8" w:space="0" w:color="auto"/>
              <w:left w:val="single" w:sz="8" w:space="0" w:color="auto"/>
              <w:bottom w:val="nil"/>
              <w:right w:val="single" w:sz="8"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color w:val="000000"/>
                <w:sz w:val="16"/>
                <w:szCs w:val="16"/>
                <w:lang w:eastAsia="ru-RU"/>
              </w:rPr>
            </w:pPr>
          </w:p>
        </w:tc>
        <w:tc>
          <w:tcPr>
            <w:tcW w:w="1559" w:type="dxa"/>
            <w:tcBorders>
              <w:top w:val="nil"/>
              <w:left w:val="nil"/>
              <w:bottom w:val="single" w:sz="8" w:space="0" w:color="auto"/>
              <w:right w:val="nil"/>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на начало года</w:t>
            </w:r>
          </w:p>
        </w:tc>
        <w:tc>
          <w:tcPr>
            <w:tcW w:w="1585" w:type="dxa"/>
            <w:tcBorders>
              <w:top w:val="nil"/>
              <w:left w:val="single" w:sz="8" w:space="0" w:color="000000"/>
              <w:bottom w:val="single" w:sz="8" w:space="0" w:color="auto"/>
              <w:right w:val="nil"/>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на конец года</w:t>
            </w:r>
          </w:p>
        </w:tc>
        <w:tc>
          <w:tcPr>
            <w:tcW w:w="1520" w:type="dxa"/>
            <w:tcBorders>
              <w:top w:val="nil"/>
              <w:left w:val="single" w:sz="8" w:space="0" w:color="000000"/>
              <w:bottom w:val="single" w:sz="8"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изменения</w:t>
            </w:r>
          </w:p>
        </w:tc>
        <w:tc>
          <w:tcPr>
            <w:tcW w:w="1487" w:type="dxa"/>
            <w:tcBorders>
              <w:top w:val="nil"/>
              <w:left w:val="single" w:sz="8" w:space="0" w:color="000000"/>
              <w:bottom w:val="single" w:sz="8"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На 01.11.2024</w:t>
            </w:r>
          </w:p>
        </w:tc>
        <w:tc>
          <w:tcPr>
            <w:tcW w:w="1529" w:type="dxa"/>
            <w:tcBorders>
              <w:top w:val="nil"/>
              <w:left w:val="single" w:sz="8" w:space="0" w:color="000000"/>
              <w:bottom w:val="single" w:sz="8"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изменения</w:t>
            </w:r>
          </w:p>
        </w:tc>
      </w:tr>
      <w:tr w:rsidR="002B1A14" w:rsidRPr="002B1A14" w:rsidTr="00226B6B">
        <w:trPr>
          <w:trHeight w:val="87"/>
        </w:trPr>
        <w:tc>
          <w:tcPr>
            <w:tcW w:w="1971" w:type="dxa"/>
            <w:tcBorders>
              <w:top w:val="nil"/>
              <w:left w:val="single" w:sz="8" w:space="0" w:color="auto"/>
              <w:bottom w:val="single" w:sz="8" w:space="0" w:color="auto"/>
              <w:right w:val="single" w:sz="8"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w:t>
            </w:r>
          </w:p>
        </w:tc>
        <w:tc>
          <w:tcPr>
            <w:tcW w:w="1559" w:type="dxa"/>
            <w:tcBorders>
              <w:top w:val="nil"/>
              <w:left w:val="nil"/>
              <w:bottom w:val="single" w:sz="8" w:space="0" w:color="auto"/>
              <w:right w:val="single" w:sz="8"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w:t>
            </w:r>
          </w:p>
        </w:tc>
        <w:tc>
          <w:tcPr>
            <w:tcW w:w="1585" w:type="dxa"/>
            <w:tcBorders>
              <w:top w:val="nil"/>
              <w:left w:val="nil"/>
              <w:bottom w:val="single" w:sz="8" w:space="0" w:color="auto"/>
              <w:right w:val="single" w:sz="8"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4</w:t>
            </w:r>
          </w:p>
        </w:tc>
        <w:tc>
          <w:tcPr>
            <w:tcW w:w="1520" w:type="dxa"/>
            <w:tcBorders>
              <w:top w:val="nil"/>
              <w:left w:val="nil"/>
              <w:bottom w:val="single" w:sz="8"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w:t>
            </w:r>
          </w:p>
        </w:tc>
        <w:tc>
          <w:tcPr>
            <w:tcW w:w="1487" w:type="dxa"/>
            <w:tcBorders>
              <w:top w:val="nil"/>
              <w:left w:val="nil"/>
              <w:bottom w:val="single" w:sz="8" w:space="0" w:color="auto"/>
              <w:right w:val="single" w:sz="4" w:space="0" w:color="auto"/>
            </w:tcBorders>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c>
          <w:tcPr>
            <w:tcW w:w="1529" w:type="dxa"/>
            <w:tcBorders>
              <w:top w:val="nil"/>
              <w:left w:val="nil"/>
              <w:bottom w:val="single" w:sz="8" w:space="0" w:color="auto"/>
              <w:right w:val="single" w:sz="4" w:space="0" w:color="auto"/>
            </w:tcBorders>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r>
      <w:tr w:rsidR="002B1A14" w:rsidRPr="002B1A14" w:rsidTr="002B1A14">
        <w:trPr>
          <w:trHeight w:val="315"/>
        </w:trPr>
        <w:tc>
          <w:tcPr>
            <w:tcW w:w="6635" w:type="dxa"/>
            <w:gridSpan w:val="4"/>
            <w:tcBorders>
              <w:top w:val="single" w:sz="8" w:space="0" w:color="auto"/>
              <w:left w:val="single" w:sz="8" w:space="0" w:color="auto"/>
              <w:bottom w:val="single" w:sz="4" w:space="0" w:color="auto"/>
              <w:right w:val="single" w:sz="4" w:space="0" w:color="000000"/>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205000 «Расчеты по доходам»</w:t>
            </w:r>
          </w:p>
        </w:tc>
        <w:tc>
          <w:tcPr>
            <w:tcW w:w="1487" w:type="dxa"/>
            <w:tcBorders>
              <w:top w:val="single" w:sz="8" w:space="0" w:color="auto"/>
              <w:left w:val="single" w:sz="8" w:space="0" w:color="auto"/>
              <w:bottom w:val="single" w:sz="4" w:space="0" w:color="auto"/>
              <w:right w:val="single" w:sz="4" w:space="0" w:color="000000"/>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1529" w:type="dxa"/>
            <w:tcBorders>
              <w:top w:val="single" w:sz="8" w:space="0" w:color="auto"/>
              <w:left w:val="single" w:sz="8" w:space="0" w:color="auto"/>
              <w:bottom w:val="single" w:sz="4" w:space="0" w:color="auto"/>
              <w:right w:val="single" w:sz="4" w:space="0" w:color="000000"/>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r>
      <w:tr w:rsidR="002B1A14" w:rsidRPr="002B1A14" w:rsidTr="00A20B4B">
        <w:trPr>
          <w:trHeight w:val="186"/>
        </w:trPr>
        <w:tc>
          <w:tcPr>
            <w:tcW w:w="6635" w:type="dxa"/>
            <w:gridSpan w:val="4"/>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Счет 20523000 «Расчеты по доходам от платежей при пользовании природными ресурсами»</w:t>
            </w:r>
          </w:p>
        </w:tc>
        <w:tc>
          <w:tcPr>
            <w:tcW w:w="1487" w:type="dxa"/>
            <w:tcBorders>
              <w:top w:val="single" w:sz="4" w:space="0" w:color="auto"/>
              <w:left w:val="single" w:sz="4" w:space="0" w:color="auto"/>
              <w:bottom w:val="single" w:sz="4" w:space="0" w:color="auto"/>
              <w:right w:val="single" w:sz="4" w:space="0" w:color="auto"/>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1529" w:type="dxa"/>
            <w:tcBorders>
              <w:top w:val="single" w:sz="4" w:space="0" w:color="auto"/>
              <w:left w:val="single" w:sz="4" w:space="0" w:color="auto"/>
              <w:bottom w:val="single" w:sz="4" w:space="0" w:color="auto"/>
              <w:right w:val="single" w:sz="4" w:space="0" w:color="auto"/>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r>
      <w:tr w:rsidR="002B1A14" w:rsidRPr="002B1A14" w:rsidTr="00A20B4B">
        <w:trPr>
          <w:trHeight w:val="415"/>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1110501305 1000 120 1 20523 004</w:t>
            </w:r>
          </w:p>
        </w:tc>
        <w:tc>
          <w:tcPr>
            <w:tcW w:w="1559" w:type="dxa"/>
            <w:tcBorders>
              <w:top w:val="single" w:sz="4" w:space="0" w:color="auto"/>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1 247 176,92</w:t>
            </w:r>
          </w:p>
        </w:tc>
        <w:tc>
          <w:tcPr>
            <w:tcW w:w="1585" w:type="dxa"/>
            <w:tcBorders>
              <w:top w:val="single" w:sz="4" w:space="0" w:color="auto"/>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7 637 577,59</w:t>
            </w:r>
          </w:p>
        </w:tc>
        <w:tc>
          <w:tcPr>
            <w:tcW w:w="1520" w:type="dxa"/>
            <w:tcBorders>
              <w:top w:val="single" w:sz="4" w:space="0" w:color="auto"/>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+6 390 400,67</w:t>
            </w:r>
          </w:p>
        </w:tc>
        <w:tc>
          <w:tcPr>
            <w:tcW w:w="1487" w:type="dxa"/>
            <w:tcBorders>
              <w:top w:val="single" w:sz="4" w:space="0" w:color="auto"/>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10 313 932,76</w:t>
            </w:r>
          </w:p>
        </w:tc>
        <w:tc>
          <w:tcPr>
            <w:tcW w:w="1529" w:type="dxa"/>
            <w:tcBorders>
              <w:top w:val="single" w:sz="4" w:space="0" w:color="auto"/>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+2 676 355,17</w:t>
            </w:r>
          </w:p>
        </w:tc>
      </w:tr>
      <w:tr w:rsidR="002B1A14" w:rsidRPr="002B1A14" w:rsidTr="00A20B4B">
        <w:trPr>
          <w:trHeight w:val="409"/>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lastRenderedPageBreak/>
              <w:t>1110501305 1000 120 1 20523 006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4 165 002,77</w:t>
            </w:r>
          </w:p>
        </w:tc>
        <w:tc>
          <w:tcPr>
            <w:tcW w:w="1585"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956 398,72</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-3 208 604,05</w:t>
            </w:r>
          </w:p>
        </w:tc>
        <w:tc>
          <w:tcPr>
            <w:tcW w:w="148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1 699 130,44</w:t>
            </w:r>
          </w:p>
        </w:tc>
        <w:tc>
          <w:tcPr>
            <w:tcW w:w="152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+742 731,72</w:t>
            </w:r>
          </w:p>
        </w:tc>
      </w:tr>
      <w:tr w:rsidR="002B1A14" w:rsidRPr="002B1A14" w:rsidTr="00A20B4B">
        <w:trPr>
          <w:trHeight w:val="428"/>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1110501305 1000 120 1 20523 007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1 817 706,46</w:t>
            </w:r>
          </w:p>
        </w:tc>
        <w:tc>
          <w:tcPr>
            <w:tcW w:w="1585"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45 697,24</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- 1 772 009,22</w:t>
            </w:r>
          </w:p>
        </w:tc>
        <w:tc>
          <w:tcPr>
            <w:tcW w:w="148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70 777,02</w:t>
            </w:r>
          </w:p>
        </w:tc>
        <w:tc>
          <w:tcPr>
            <w:tcW w:w="152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+25 079,78</w:t>
            </w:r>
          </w:p>
        </w:tc>
      </w:tr>
      <w:tr w:rsidR="002B1A14" w:rsidRPr="002B1A14" w:rsidTr="00A20B4B">
        <w:trPr>
          <w:trHeight w:val="419"/>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11106013051000 430 1 20523 007</w:t>
            </w:r>
          </w:p>
        </w:tc>
        <w:tc>
          <w:tcPr>
            <w:tcW w:w="1559" w:type="dxa"/>
            <w:tcBorders>
              <w:top w:val="single" w:sz="4" w:space="0" w:color="auto"/>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722,68</w:t>
            </w:r>
          </w:p>
        </w:tc>
        <w:tc>
          <w:tcPr>
            <w:tcW w:w="1585" w:type="dxa"/>
            <w:tcBorders>
              <w:top w:val="single" w:sz="4" w:space="0" w:color="auto"/>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0</w:t>
            </w:r>
          </w:p>
        </w:tc>
        <w:tc>
          <w:tcPr>
            <w:tcW w:w="1520" w:type="dxa"/>
            <w:tcBorders>
              <w:top w:val="single" w:sz="4" w:space="0" w:color="auto"/>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-722,68</w:t>
            </w:r>
          </w:p>
        </w:tc>
        <w:tc>
          <w:tcPr>
            <w:tcW w:w="1487" w:type="dxa"/>
            <w:tcBorders>
              <w:top w:val="single" w:sz="4" w:space="0" w:color="auto"/>
              <w:left w:val="nil"/>
              <w:bottom w:val="single" w:sz="4" w:space="0" w:color="auto"/>
              <w:right w:val="single" w:sz="4" w:space="0" w:color="auto"/>
            </w:tcBorders>
            <w:vAlign w:val="center"/>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0</w:t>
            </w:r>
          </w:p>
        </w:tc>
        <w:tc>
          <w:tcPr>
            <w:tcW w:w="1529" w:type="dxa"/>
            <w:tcBorders>
              <w:top w:val="single" w:sz="4" w:space="0" w:color="auto"/>
              <w:left w:val="nil"/>
              <w:bottom w:val="single" w:sz="4" w:space="0" w:color="auto"/>
              <w:right w:val="single" w:sz="4" w:space="0" w:color="auto"/>
            </w:tcBorders>
            <w:vAlign w:val="center"/>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0</w:t>
            </w:r>
          </w:p>
        </w:tc>
      </w:tr>
      <w:tr w:rsidR="002B1A14" w:rsidRPr="002B1A14" w:rsidTr="002B1A14">
        <w:trPr>
          <w:trHeight w:val="306"/>
        </w:trPr>
        <w:tc>
          <w:tcPr>
            <w:tcW w:w="1971" w:type="dxa"/>
            <w:tcBorders>
              <w:top w:val="nil"/>
              <w:left w:val="single" w:sz="8" w:space="0" w:color="auto"/>
              <w:bottom w:val="single" w:sz="8" w:space="0" w:color="auto"/>
              <w:right w:val="single" w:sz="8"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Итого по счету 20523000</w:t>
            </w:r>
          </w:p>
        </w:tc>
        <w:tc>
          <w:tcPr>
            <w:tcW w:w="1559" w:type="dxa"/>
            <w:tcBorders>
              <w:top w:val="nil"/>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7 230 608,83</w:t>
            </w:r>
          </w:p>
        </w:tc>
        <w:tc>
          <w:tcPr>
            <w:tcW w:w="1585" w:type="dxa"/>
            <w:tcBorders>
              <w:top w:val="nil"/>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8 639 673,55</w:t>
            </w:r>
          </w:p>
        </w:tc>
        <w:tc>
          <w:tcPr>
            <w:tcW w:w="1520" w:type="dxa"/>
            <w:tcBorders>
              <w:top w:val="nil"/>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+1 409 064,92</w:t>
            </w:r>
          </w:p>
        </w:tc>
        <w:tc>
          <w:tcPr>
            <w:tcW w:w="1487" w:type="dxa"/>
            <w:tcBorders>
              <w:top w:val="nil"/>
              <w:left w:val="nil"/>
              <w:bottom w:val="single" w:sz="8" w:space="0" w:color="auto"/>
              <w:right w:val="single" w:sz="8"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12 083 840,22</w:t>
            </w:r>
          </w:p>
        </w:tc>
        <w:tc>
          <w:tcPr>
            <w:tcW w:w="1529" w:type="dxa"/>
            <w:tcBorders>
              <w:top w:val="nil"/>
              <w:left w:val="nil"/>
              <w:bottom w:val="single" w:sz="8" w:space="0" w:color="auto"/>
              <w:right w:val="single" w:sz="8"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+3 444 166,67</w:t>
            </w:r>
          </w:p>
        </w:tc>
      </w:tr>
      <w:tr w:rsidR="002B1A14" w:rsidRPr="002B1A14" w:rsidTr="00A20B4B">
        <w:trPr>
          <w:trHeight w:val="165"/>
        </w:trPr>
        <w:tc>
          <w:tcPr>
            <w:tcW w:w="6635" w:type="dxa"/>
            <w:gridSpan w:val="4"/>
            <w:tcBorders>
              <w:top w:val="single" w:sz="8" w:space="0" w:color="auto"/>
              <w:left w:val="single" w:sz="8" w:space="0" w:color="auto"/>
              <w:bottom w:val="single" w:sz="8" w:space="0" w:color="auto"/>
              <w:right w:val="single" w:sz="4" w:space="0" w:color="000000"/>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Счет 20521000 «Расчеты по доходам от операционной аренды»</w:t>
            </w:r>
          </w:p>
        </w:tc>
        <w:tc>
          <w:tcPr>
            <w:tcW w:w="1487" w:type="dxa"/>
            <w:tcBorders>
              <w:top w:val="single" w:sz="8" w:space="0" w:color="auto"/>
              <w:left w:val="single" w:sz="8" w:space="0" w:color="auto"/>
              <w:bottom w:val="single" w:sz="8" w:space="0" w:color="auto"/>
              <w:right w:val="single" w:sz="4" w:space="0" w:color="000000"/>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c>
          <w:tcPr>
            <w:tcW w:w="1529" w:type="dxa"/>
            <w:tcBorders>
              <w:top w:val="single" w:sz="8" w:space="0" w:color="auto"/>
              <w:left w:val="single" w:sz="8" w:space="0" w:color="auto"/>
              <w:bottom w:val="single" w:sz="8" w:space="0" w:color="auto"/>
              <w:right w:val="single" w:sz="4" w:space="0" w:color="000000"/>
            </w:tcBorders>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
        </w:tc>
      </w:tr>
      <w:tr w:rsidR="002B1A14" w:rsidRPr="002B1A14" w:rsidTr="00A20B4B">
        <w:trPr>
          <w:trHeight w:val="395"/>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1110507505 1000 120 1 20521 004</w:t>
            </w:r>
          </w:p>
        </w:tc>
        <w:tc>
          <w:tcPr>
            <w:tcW w:w="1559" w:type="dxa"/>
            <w:tcBorders>
              <w:top w:val="nil"/>
              <w:left w:val="nil"/>
              <w:bottom w:val="single" w:sz="4"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152 032,42</w:t>
            </w:r>
          </w:p>
        </w:tc>
        <w:tc>
          <w:tcPr>
            <w:tcW w:w="1585" w:type="dxa"/>
            <w:tcBorders>
              <w:top w:val="nil"/>
              <w:left w:val="nil"/>
              <w:bottom w:val="single" w:sz="4"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15 718 298,67</w:t>
            </w:r>
          </w:p>
        </w:tc>
        <w:tc>
          <w:tcPr>
            <w:tcW w:w="1520" w:type="dxa"/>
            <w:tcBorders>
              <w:top w:val="nil"/>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+15 566266,25</w:t>
            </w:r>
          </w:p>
        </w:tc>
        <w:tc>
          <w:tcPr>
            <w:tcW w:w="1487"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22 365 545,82</w:t>
            </w:r>
          </w:p>
        </w:tc>
        <w:tc>
          <w:tcPr>
            <w:tcW w:w="1529"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+6 647 247,15</w:t>
            </w:r>
          </w:p>
        </w:tc>
      </w:tr>
      <w:tr w:rsidR="002B1A14" w:rsidRPr="002B1A14" w:rsidTr="00A20B4B">
        <w:trPr>
          <w:trHeight w:val="412"/>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1110507505 1000 120 1 20521 005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6201,96</w:t>
            </w:r>
          </w:p>
        </w:tc>
        <w:tc>
          <w:tcPr>
            <w:tcW w:w="1585"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-6201,96</w:t>
            </w:r>
          </w:p>
        </w:tc>
        <w:tc>
          <w:tcPr>
            <w:tcW w:w="148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ххх</w:t>
            </w:r>
            <w:proofErr w:type="spellEnd"/>
          </w:p>
        </w:tc>
        <w:tc>
          <w:tcPr>
            <w:tcW w:w="152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ххх</w:t>
            </w:r>
            <w:proofErr w:type="spellEnd"/>
          </w:p>
        </w:tc>
      </w:tr>
      <w:tr w:rsidR="002B1A14" w:rsidRPr="002B1A14" w:rsidTr="00A20B4B">
        <w:trPr>
          <w:trHeight w:val="403"/>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1110507505 1000 120 1 20521 006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13 673 082,64</w:t>
            </w:r>
          </w:p>
        </w:tc>
        <w:tc>
          <w:tcPr>
            <w:tcW w:w="1585"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35 500,0</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-13 637582,64</w:t>
            </w:r>
          </w:p>
        </w:tc>
        <w:tc>
          <w:tcPr>
            <w:tcW w:w="148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ххх</w:t>
            </w:r>
            <w:proofErr w:type="spellEnd"/>
          </w:p>
        </w:tc>
        <w:tc>
          <w:tcPr>
            <w:tcW w:w="152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ххх</w:t>
            </w:r>
            <w:proofErr w:type="spellEnd"/>
          </w:p>
        </w:tc>
      </w:tr>
      <w:tr w:rsidR="002B1A14" w:rsidRPr="002B1A14" w:rsidTr="00A20B4B">
        <w:trPr>
          <w:trHeight w:val="297"/>
        </w:trPr>
        <w:tc>
          <w:tcPr>
            <w:tcW w:w="1971"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111050750510000 120 1 20521 007</w:t>
            </w:r>
          </w:p>
        </w:tc>
        <w:tc>
          <w:tcPr>
            <w:tcW w:w="1559" w:type="dxa"/>
            <w:tcBorders>
              <w:top w:val="single" w:sz="4" w:space="0" w:color="auto"/>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2 524 777,62</w:t>
            </w:r>
          </w:p>
        </w:tc>
        <w:tc>
          <w:tcPr>
            <w:tcW w:w="1585" w:type="dxa"/>
            <w:tcBorders>
              <w:top w:val="single" w:sz="4" w:space="0" w:color="auto"/>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616264,95</w:t>
            </w:r>
          </w:p>
        </w:tc>
        <w:tc>
          <w:tcPr>
            <w:tcW w:w="1520" w:type="dxa"/>
            <w:tcBorders>
              <w:top w:val="single" w:sz="4" w:space="0" w:color="auto"/>
              <w:left w:val="nil"/>
              <w:bottom w:val="single" w:sz="8"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-1 908512,67</w:t>
            </w:r>
          </w:p>
        </w:tc>
        <w:tc>
          <w:tcPr>
            <w:tcW w:w="1487" w:type="dxa"/>
            <w:tcBorders>
              <w:top w:val="single" w:sz="4" w:space="0" w:color="auto"/>
              <w:left w:val="nil"/>
              <w:bottom w:val="single" w:sz="8"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387088,79</w:t>
            </w:r>
          </w:p>
        </w:tc>
        <w:tc>
          <w:tcPr>
            <w:tcW w:w="1529" w:type="dxa"/>
            <w:tcBorders>
              <w:top w:val="single" w:sz="4" w:space="0" w:color="auto"/>
              <w:left w:val="nil"/>
              <w:bottom w:val="single" w:sz="8"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-229 176,16</w:t>
            </w:r>
          </w:p>
        </w:tc>
      </w:tr>
      <w:tr w:rsidR="002B1A14" w:rsidRPr="002B1A14" w:rsidTr="002B1A14">
        <w:trPr>
          <w:trHeight w:val="308"/>
        </w:trPr>
        <w:tc>
          <w:tcPr>
            <w:tcW w:w="1971" w:type="dxa"/>
            <w:tcBorders>
              <w:top w:val="nil"/>
              <w:left w:val="single" w:sz="8" w:space="0" w:color="auto"/>
              <w:bottom w:val="single" w:sz="8" w:space="0" w:color="auto"/>
              <w:right w:val="single" w:sz="8"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Итого по счету 20521000</w:t>
            </w:r>
          </w:p>
        </w:tc>
        <w:tc>
          <w:tcPr>
            <w:tcW w:w="1559" w:type="dxa"/>
            <w:tcBorders>
              <w:top w:val="nil"/>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16 356 094,64</w:t>
            </w:r>
          </w:p>
        </w:tc>
        <w:tc>
          <w:tcPr>
            <w:tcW w:w="1585" w:type="dxa"/>
            <w:tcBorders>
              <w:top w:val="nil"/>
              <w:left w:val="nil"/>
              <w:bottom w:val="single" w:sz="8" w:space="0" w:color="auto"/>
              <w:right w:val="single" w:sz="8"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16 370 063,62</w:t>
            </w:r>
          </w:p>
        </w:tc>
        <w:tc>
          <w:tcPr>
            <w:tcW w:w="1520" w:type="dxa"/>
            <w:tcBorders>
              <w:top w:val="nil"/>
              <w:left w:val="nil"/>
              <w:bottom w:val="single" w:sz="8"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+13 968,98</w:t>
            </w:r>
          </w:p>
        </w:tc>
        <w:tc>
          <w:tcPr>
            <w:tcW w:w="1487" w:type="dxa"/>
            <w:tcBorders>
              <w:top w:val="nil"/>
              <w:left w:val="nil"/>
              <w:bottom w:val="single" w:sz="8"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22 752 634,61</w:t>
            </w:r>
          </w:p>
        </w:tc>
        <w:tc>
          <w:tcPr>
            <w:tcW w:w="1529" w:type="dxa"/>
            <w:tcBorders>
              <w:top w:val="nil"/>
              <w:left w:val="nil"/>
              <w:bottom w:val="single" w:sz="8"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+6 418 070,99</w:t>
            </w:r>
          </w:p>
        </w:tc>
      </w:tr>
      <w:tr w:rsidR="002B1A14" w:rsidRPr="002B1A14" w:rsidTr="002B1A14">
        <w:trPr>
          <w:trHeight w:val="547"/>
        </w:trPr>
        <w:tc>
          <w:tcPr>
            <w:tcW w:w="1971" w:type="dxa"/>
            <w:tcBorders>
              <w:top w:val="nil"/>
              <w:left w:val="single" w:sz="8" w:space="0" w:color="auto"/>
              <w:bottom w:val="single" w:sz="4" w:space="0" w:color="auto"/>
              <w:right w:val="single" w:sz="8"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Итого по синтетическому коду счету 205000</w:t>
            </w:r>
          </w:p>
        </w:tc>
        <w:tc>
          <w:tcPr>
            <w:tcW w:w="1559" w:type="dxa"/>
            <w:tcBorders>
              <w:top w:val="nil"/>
              <w:left w:val="nil"/>
              <w:bottom w:val="single" w:sz="4" w:space="0" w:color="auto"/>
              <w:right w:val="single" w:sz="8"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23 586 703,47</w:t>
            </w:r>
          </w:p>
        </w:tc>
        <w:tc>
          <w:tcPr>
            <w:tcW w:w="1585" w:type="dxa"/>
            <w:tcBorders>
              <w:top w:val="nil"/>
              <w:left w:val="nil"/>
              <w:bottom w:val="single" w:sz="4" w:space="0" w:color="auto"/>
              <w:right w:val="single" w:sz="8"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25 009 737,17</w:t>
            </w:r>
          </w:p>
        </w:tc>
        <w:tc>
          <w:tcPr>
            <w:tcW w:w="1520"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+1 423 033,9</w:t>
            </w:r>
          </w:p>
        </w:tc>
        <w:tc>
          <w:tcPr>
            <w:tcW w:w="1487"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34 836 474,83</w:t>
            </w:r>
          </w:p>
        </w:tc>
        <w:tc>
          <w:tcPr>
            <w:tcW w:w="1529"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+9 826 737,66</w:t>
            </w:r>
          </w:p>
        </w:tc>
      </w:tr>
      <w:tr w:rsidR="002B1A14" w:rsidRPr="002B1A14" w:rsidTr="00A20B4B">
        <w:trPr>
          <w:trHeight w:val="215"/>
        </w:trPr>
        <w:tc>
          <w:tcPr>
            <w:tcW w:w="1971" w:type="dxa"/>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Всего задолженности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23 586 703,47</w:t>
            </w:r>
          </w:p>
        </w:tc>
        <w:tc>
          <w:tcPr>
            <w:tcW w:w="1585"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25 009 737,17</w:t>
            </w:r>
          </w:p>
        </w:tc>
        <w:tc>
          <w:tcPr>
            <w:tcW w:w="1520"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+1 423 033,9</w:t>
            </w:r>
          </w:p>
        </w:tc>
        <w:tc>
          <w:tcPr>
            <w:tcW w:w="148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34 836 474,83</w:t>
            </w:r>
          </w:p>
        </w:tc>
        <w:tc>
          <w:tcPr>
            <w:tcW w:w="1529"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+9 826 737,66</w:t>
            </w:r>
          </w:p>
        </w:tc>
      </w:tr>
      <w:tr w:rsidR="002B1A14" w:rsidRPr="002B1A14" w:rsidTr="00A20B4B">
        <w:trPr>
          <w:trHeight w:val="120"/>
        </w:trPr>
        <w:tc>
          <w:tcPr>
            <w:tcW w:w="1971" w:type="dxa"/>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 </w:t>
            </w:r>
          </w:p>
        </w:tc>
        <w:tc>
          <w:tcPr>
            <w:tcW w:w="1585" w:type="dxa"/>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jc w:val="right"/>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 </w:t>
            </w:r>
          </w:p>
        </w:tc>
        <w:tc>
          <w:tcPr>
            <w:tcW w:w="1520" w:type="dxa"/>
            <w:tcBorders>
              <w:top w:val="single" w:sz="4" w:space="0" w:color="auto"/>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jc w:val="right"/>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 </w:t>
            </w:r>
          </w:p>
        </w:tc>
        <w:tc>
          <w:tcPr>
            <w:tcW w:w="1487" w:type="dxa"/>
            <w:tcBorders>
              <w:top w:val="single" w:sz="4" w:space="0" w:color="auto"/>
              <w:left w:val="single" w:sz="4" w:space="0" w:color="auto"/>
              <w:bottom w:val="single" w:sz="4" w:space="0" w:color="auto"/>
              <w:right w:val="single" w:sz="4" w:space="0" w:color="auto"/>
            </w:tcBorders>
          </w:tcPr>
          <w:p w:rsidR="002B1A14" w:rsidRPr="002B1A14" w:rsidRDefault="002B1A14" w:rsidP="002B1A14">
            <w:pPr>
              <w:autoSpaceDE w:val="0"/>
              <w:autoSpaceDN w:val="0"/>
              <w:spacing w:after="0" w:line="240" w:lineRule="auto"/>
              <w:jc w:val="right"/>
              <w:rPr>
                <w:rFonts w:ascii="Times New Roman" w:eastAsia="Times New Roman" w:hAnsi="Times New Roman" w:cs="Times New Roman"/>
                <w:color w:val="000000"/>
                <w:sz w:val="16"/>
                <w:szCs w:val="16"/>
                <w:lang w:eastAsia="ru-RU"/>
              </w:rPr>
            </w:pPr>
          </w:p>
        </w:tc>
        <w:tc>
          <w:tcPr>
            <w:tcW w:w="1529" w:type="dxa"/>
            <w:tcBorders>
              <w:top w:val="single" w:sz="4" w:space="0" w:color="auto"/>
              <w:left w:val="single" w:sz="4" w:space="0" w:color="auto"/>
              <w:bottom w:val="single" w:sz="4" w:space="0" w:color="auto"/>
              <w:right w:val="single" w:sz="4" w:space="0" w:color="auto"/>
            </w:tcBorders>
          </w:tcPr>
          <w:p w:rsidR="002B1A14" w:rsidRPr="002B1A14" w:rsidRDefault="002B1A14" w:rsidP="002B1A14">
            <w:pPr>
              <w:autoSpaceDE w:val="0"/>
              <w:autoSpaceDN w:val="0"/>
              <w:spacing w:after="0" w:line="240" w:lineRule="auto"/>
              <w:jc w:val="right"/>
              <w:rPr>
                <w:rFonts w:ascii="Times New Roman" w:eastAsia="Times New Roman" w:hAnsi="Times New Roman" w:cs="Times New Roman"/>
                <w:color w:val="000000"/>
                <w:sz w:val="16"/>
                <w:szCs w:val="16"/>
                <w:lang w:eastAsia="ru-RU"/>
              </w:rPr>
            </w:pPr>
          </w:p>
        </w:tc>
      </w:tr>
      <w:tr w:rsidR="002B1A14" w:rsidRPr="002B1A14" w:rsidTr="002B1A14">
        <w:trPr>
          <w:trHeight w:val="314"/>
        </w:trPr>
        <w:tc>
          <w:tcPr>
            <w:tcW w:w="1971"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по счету 20521000</w:t>
            </w:r>
          </w:p>
        </w:tc>
        <w:tc>
          <w:tcPr>
            <w:tcW w:w="1559"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16 356 094,64</w:t>
            </w:r>
          </w:p>
        </w:tc>
        <w:tc>
          <w:tcPr>
            <w:tcW w:w="1585"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16 370 063,62</w:t>
            </w:r>
          </w:p>
        </w:tc>
        <w:tc>
          <w:tcPr>
            <w:tcW w:w="1520"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+13 968,98</w:t>
            </w:r>
          </w:p>
        </w:tc>
        <w:tc>
          <w:tcPr>
            <w:tcW w:w="1487"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22 752 634,61</w:t>
            </w:r>
          </w:p>
        </w:tc>
        <w:tc>
          <w:tcPr>
            <w:tcW w:w="1529"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+6 418 070,99</w:t>
            </w:r>
          </w:p>
        </w:tc>
      </w:tr>
      <w:tr w:rsidR="002B1A14" w:rsidRPr="002B1A14" w:rsidTr="002B1A14">
        <w:trPr>
          <w:trHeight w:val="300"/>
        </w:trPr>
        <w:tc>
          <w:tcPr>
            <w:tcW w:w="1971" w:type="dxa"/>
            <w:tcBorders>
              <w:top w:val="nil"/>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Уд</w:t>
            </w:r>
            <w:proofErr w:type="gramStart"/>
            <w:r w:rsidRPr="002B1A14">
              <w:rPr>
                <w:rFonts w:ascii="Times New Roman" w:eastAsia="Times New Roman" w:hAnsi="Times New Roman" w:cs="Times New Roman"/>
                <w:color w:val="000000"/>
                <w:sz w:val="16"/>
                <w:szCs w:val="16"/>
                <w:lang w:eastAsia="ru-RU"/>
              </w:rPr>
              <w:t>.в</w:t>
            </w:r>
            <w:proofErr w:type="gramEnd"/>
            <w:r w:rsidRPr="002B1A14">
              <w:rPr>
                <w:rFonts w:ascii="Times New Roman" w:eastAsia="Times New Roman" w:hAnsi="Times New Roman" w:cs="Times New Roman"/>
                <w:color w:val="000000"/>
                <w:sz w:val="16"/>
                <w:szCs w:val="16"/>
                <w:lang w:eastAsia="ru-RU"/>
              </w:rPr>
              <w:t>ес</w:t>
            </w:r>
            <w:proofErr w:type="spellEnd"/>
            <w:r w:rsidRPr="002B1A1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noWrap/>
            <w:vAlign w:val="bottom"/>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69,3</w:t>
            </w:r>
          </w:p>
        </w:tc>
        <w:tc>
          <w:tcPr>
            <w:tcW w:w="1585" w:type="dxa"/>
            <w:tcBorders>
              <w:top w:val="nil"/>
              <w:left w:val="nil"/>
              <w:bottom w:val="single" w:sz="4" w:space="0" w:color="auto"/>
              <w:right w:val="single" w:sz="4" w:space="0" w:color="auto"/>
            </w:tcBorders>
            <w:noWrap/>
            <w:vAlign w:val="bottom"/>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65,5</w:t>
            </w:r>
          </w:p>
        </w:tc>
        <w:tc>
          <w:tcPr>
            <w:tcW w:w="1520" w:type="dxa"/>
            <w:tcBorders>
              <w:top w:val="nil"/>
              <w:left w:val="nil"/>
              <w:bottom w:val="single" w:sz="4" w:space="0" w:color="auto"/>
              <w:right w:val="single" w:sz="4" w:space="0" w:color="auto"/>
            </w:tcBorders>
            <w:noWrap/>
            <w:vAlign w:val="bottom"/>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c>
          <w:tcPr>
            <w:tcW w:w="1487" w:type="dxa"/>
            <w:tcBorders>
              <w:top w:val="nil"/>
              <w:left w:val="nil"/>
              <w:bottom w:val="single" w:sz="4"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65,3</w:t>
            </w:r>
          </w:p>
        </w:tc>
        <w:tc>
          <w:tcPr>
            <w:tcW w:w="1529" w:type="dxa"/>
            <w:tcBorders>
              <w:top w:val="nil"/>
              <w:left w:val="nil"/>
              <w:bottom w:val="single" w:sz="4" w:space="0" w:color="auto"/>
              <w:right w:val="single" w:sz="4" w:space="0" w:color="auto"/>
            </w:tcBorders>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r>
      <w:tr w:rsidR="002B1A14" w:rsidRPr="002B1A14" w:rsidTr="002B1A14">
        <w:trPr>
          <w:trHeight w:val="325"/>
        </w:trPr>
        <w:tc>
          <w:tcPr>
            <w:tcW w:w="1971"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по счету 20523000</w:t>
            </w:r>
          </w:p>
        </w:tc>
        <w:tc>
          <w:tcPr>
            <w:tcW w:w="1559" w:type="dxa"/>
            <w:tcBorders>
              <w:top w:val="nil"/>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7 230 608,83</w:t>
            </w:r>
          </w:p>
        </w:tc>
        <w:tc>
          <w:tcPr>
            <w:tcW w:w="1585" w:type="dxa"/>
            <w:tcBorders>
              <w:top w:val="nil"/>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8 639 673,55</w:t>
            </w:r>
          </w:p>
        </w:tc>
        <w:tc>
          <w:tcPr>
            <w:tcW w:w="1520" w:type="dxa"/>
            <w:tcBorders>
              <w:top w:val="nil"/>
              <w:left w:val="nil"/>
              <w:bottom w:val="single" w:sz="4" w:space="0" w:color="auto"/>
              <w:right w:val="single" w:sz="4" w:space="0" w:color="auto"/>
            </w:tcBorders>
            <w:noWrap/>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+1 409 064,92</w:t>
            </w:r>
          </w:p>
        </w:tc>
        <w:tc>
          <w:tcPr>
            <w:tcW w:w="1487"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12 083 840,22</w:t>
            </w:r>
          </w:p>
        </w:tc>
        <w:tc>
          <w:tcPr>
            <w:tcW w:w="1529" w:type="dxa"/>
            <w:tcBorders>
              <w:top w:val="nil"/>
              <w:left w:val="nil"/>
              <w:bottom w:val="single" w:sz="4" w:space="0" w:color="auto"/>
              <w:right w:val="single" w:sz="4" w:space="0" w:color="auto"/>
            </w:tcBorders>
            <w:vAlign w:val="center"/>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b/>
                <w:bCs/>
                <w:color w:val="000000"/>
                <w:sz w:val="16"/>
                <w:szCs w:val="16"/>
                <w:lang w:eastAsia="ru-RU"/>
              </w:rPr>
            </w:pPr>
            <w:r w:rsidRPr="002B1A14">
              <w:rPr>
                <w:rFonts w:ascii="Times New Roman" w:eastAsia="Times New Roman" w:hAnsi="Times New Roman" w:cs="Times New Roman"/>
                <w:b/>
                <w:bCs/>
                <w:color w:val="000000"/>
                <w:sz w:val="16"/>
                <w:szCs w:val="16"/>
                <w:lang w:eastAsia="ru-RU"/>
              </w:rPr>
              <w:t>+3 444 166,67</w:t>
            </w:r>
          </w:p>
        </w:tc>
      </w:tr>
      <w:tr w:rsidR="002B1A14" w:rsidRPr="002B1A14" w:rsidTr="002B1A14">
        <w:trPr>
          <w:trHeight w:val="300"/>
        </w:trPr>
        <w:tc>
          <w:tcPr>
            <w:tcW w:w="1971" w:type="dxa"/>
            <w:tcBorders>
              <w:top w:val="nil"/>
              <w:left w:val="single" w:sz="4" w:space="0" w:color="auto"/>
              <w:bottom w:val="single" w:sz="4" w:space="0" w:color="auto"/>
              <w:right w:val="single" w:sz="4" w:space="0" w:color="auto"/>
            </w:tcBorders>
            <w:vAlign w:val="bottom"/>
            <w:hideMark/>
          </w:tcPr>
          <w:p w:rsidR="002B1A14" w:rsidRPr="002B1A14" w:rsidRDefault="002B1A14" w:rsidP="002B1A14">
            <w:pPr>
              <w:autoSpaceDE w:val="0"/>
              <w:autoSpaceDN w:val="0"/>
              <w:spacing w:after="0" w:line="240" w:lineRule="auto"/>
              <w:rPr>
                <w:rFonts w:ascii="Times New Roman" w:eastAsia="Times New Roman" w:hAnsi="Times New Roman" w:cs="Times New Roman"/>
                <w:color w:val="000000"/>
                <w:sz w:val="16"/>
                <w:szCs w:val="16"/>
                <w:lang w:eastAsia="ru-RU"/>
              </w:rPr>
            </w:pPr>
            <w:proofErr w:type="spellStart"/>
            <w:r w:rsidRPr="002B1A14">
              <w:rPr>
                <w:rFonts w:ascii="Times New Roman" w:eastAsia="Times New Roman" w:hAnsi="Times New Roman" w:cs="Times New Roman"/>
                <w:color w:val="000000"/>
                <w:sz w:val="16"/>
                <w:szCs w:val="16"/>
                <w:lang w:eastAsia="ru-RU"/>
              </w:rPr>
              <w:t>Уд</w:t>
            </w:r>
            <w:proofErr w:type="gramStart"/>
            <w:r w:rsidRPr="002B1A14">
              <w:rPr>
                <w:rFonts w:ascii="Times New Roman" w:eastAsia="Times New Roman" w:hAnsi="Times New Roman" w:cs="Times New Roman"/>
                <w:color w:val="000000"/>
                <w:sz w:val="16"/>
                <w:szCs w:val="16"/>
                <w:lang w:eastAsia="ru-RU"/>
              </w:rPr>
              <w:t>.в</w:t>
            </w:r>
            <w:proofErr w:type="gramEnd"/>
            <w:r w:rsidRPr="002B1A14">
              <w:rPr>
                <w:rFonts w:ascii="Times New Roman" w:eastAsia="Times New Roman" w:hAnsi="Times New Roman" w:cs="Times New Roman"/>
                <w:color w:val="000000"/>
                <w:sz w:val="16"/>
                <w:szCs w:val="16"/>
                <w:lang w:eastAsia="ru-RU"/>
              </w:rPr>
              <w:t>ес</w:t>
            </w:r>
            <w:proofErr w:type="spellEnd"/>
            <w:r w:rsidRPr="002B1A14">
              <w:rPr>
                <w:rFonts w:ascii="Times New Roman" w:eastAsia="Times New Roman" w:hAnsi="Times New Roman" w:cs="Times New Roman"/>
                <w:color w:val="000000"/>
                <w:sz w:val="16"/>
                <w:szCs w:val="16"/>
                <w:lang w:eastAsia="ru-RU"/>
              </w:rPr>
              <w:t>, %</w:t>
            </w:r>
          </w:p>
        </w:tc>
        <w:tc>
          <w:tcPr>
            <w:tcW w:w="1559" w:type="dxa"/>
            <w:tcBorders>
              <w:top w:val="nil"/>
              <w:left w:val="nil"/>
              <w:bottom w:val="single" w:sz="4" w:space="0" w:color="auto"/>
              <w:right w:val="single" w:sz="4" w:space="0" w:color="auto"/>
            </w:tcBorders>
            <w:noWrap/>
            <w:vAlign w:val="bottom"/>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30,7</w:t>
            </w:r>
          </w:p>
        </w:tc>
        <w:tc>
          <w:tcPr>
            <w:tcW w:w="1585" w:type="dxa"/>
            <w:tcBorders>
              <w:top w:val="nil"/>
              <w:left w:val="nil"/>
              <w:bottom w:val="single" w:sz="4" w:space="0" w:color="auto"/>
              <w:right w:val="single" w:sz="4" w:space="0" w:color="auto"/>
            </w:tcBorders>
            <w:noWrap/>
            <w:vAlign w:val="bottom"/>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34,5</w:t>
            </w:r>
          </w:p>
        </w:tc>
        <w:tc>
          <w:tcPr>
            <w:tcW w:w="1520" w:type="dxa"/>
            <w:tcBorders>
              <w:top w:val="nil"/>
              <w:left w:val="nil"/>
              <w:bottom w:val="single" w:sz="4" w:space="0" w:color="auto"/>
              <w:right w:val="single" w:sz="4" w:space="0" w:color="auto"/>
            </w:tcBorders>
            <w:noWrap/>
            <w:vAlign w:val="bottom"/>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c>
          <w:tcPr>
            <w:tcW w:w="1487" w:type="dxa"/>
            <w:tcBorders>
              <w:top w:val="nil"/>
              <w:left w:val="nil"/>
              <w:bottom w:val="single" w:sz="4" w:space="0" w:color="auto"/>
              <w:right w:val="single" w:sz="4" w:space="0" w:color="auto"/>
            </w:tcBorders>
            <w:hideMark/>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2B1A14">
              <w:rPr>
                <w:rFonts w:ascii="Times New Roman" w:eastAsia="Times New Roman" w:hAnsi="Times New Roman" w:cs="Times New Roman"/>
                <w:color w:val="000000"/>
                <w:sz w:val="16"/>
                <w:szCs w:val="16"/>
                <w:lang w:eastAsia="ru-RU"/>
              </w:rPr>
              <w:t>34,7</w:t>
            </w:r>
          </w:p>
        </w:tc>
        <w:tc>
          <w:tcPr>
            <w:tcW w:w="1529" w:type="dxa"/>
            <w:tcBorders>
              <w:top w:val="nil"/>
              <w:left w:val="nil"/>
              <w:bottom w:val="single" w:sz="4" w:space="0" w:color="auto"/>
              <w:right w:val="single" w:sz="4" w:space="0" w:color="auto"/>
            </w:tcBorders>
          </w:tcPr>
          <w:p w:rsidR="002B1A14" w:rsidRPr="002B1A14" w:rsidRDefault="002B1A14" w:rsidP="002B1A14">
            <w:pPr>
              <w:autoSpaceDE w:val="0"/>
              <w:autoSpaceDN w:val="0"/>
              <w:spacing w:after="0" w:line="240" w:lineRule="auto"/>
              <w:jc w:val="center"/>
              <w:rPr>
                <w:rFonts w:ascii="Times New Roman" w:eastAsia="Times New Roman" w:hAnsi="Times New Roman" w:cs="Times New Roman"/>
                <w:color w:val="000000"/>
                <w:sz w:val="16"/>
                <w:szCs w:val="16"/>
                <w:lang w:eastAsia="ru-RU"/>
              </w:rPr>
            </w:pPr>
          </w:p>
        </w:tc>
      </w:tr>
    </w:tbl>
    <w:p w:rsidR="002B1A14" w:rsidRPr="002B1A14" w:rsidRDefault="002B1A14" w:rsidP="002B1A14">
      <w:pPr>
        <w:autoSpaceDE w:val="0"/>
        <w:autoSpaceDN w:val="0"/>
        <w:spacing w:after="0" w:line="240" w:lineRule="auto"/>
        <w:rPr>
          <w:rFonts w:ascii="Times New Roman" w:eastAsia="Times New Roman" w:hAnsi="Times New Roman" w:cs="Times New Roman"/>
          <w:sz w:val="20"/>
          <w:szCs w:val="20"/>
          <w:lang w:eastAsia="ru-RU"/>
        </w:rPr>
      </w:pPr>
    </w:p>
    <w:p w:rsidR="002B1A14" w:rsidRPr="00D4719C" w:rsidRDefault="002B1A14" w:rsidP="002B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Основную долю дебиторской задолженности УИО составляет:</w:t>
      </w:r>
    </w:p>
    <w:p w:rsidR="002B1A14" w:rsidRPr="00D4719C" w:rsidRDefault="002B1A14" w:rsidP="002B1A14">
      <w:pPr>
        <w:numPr>
          <w:ilvl w:val="0"/>
          <w:numId w:val="4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xml:space="preserve"> задолженность по доходам от сдачи имущества в аренду 65,5 %;</w:t>
      </w:r>
    </w:p>
    <w:p w:rsidR="002B1A14" w:rsidRPr="00D4719C" w:rsidRDefault="002B1A14" w:rsidP="002B1A14">
      <w:pPr>
        <w:numPr>
          <w:ilvl w:val="0"/>
          <w:numId w:val="4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xml:space="preserve"> задолженность по доходам, получаемым в виде арендной платы за земельные участки, государственная собственность на которые не разграничена 34,5 %.</w:t>
      </w:r>
    </w:p>
    <w:p w:rsidR="002B1A14" w:rsidRPr="00D4719C" w:rsidRDefault="002B1A14" w:rsidP="002B1A14">
      <w:pPr>
        <w:spacing w:after="0" w:line="240" w:lineRule="auto"/>
        <w:ind w:firstLine="709"/>
        <w:jc w:val="both"/>
        <w:rPr>
          <w:rFonts w:ascii="Times New Roman" w:eastAsia="Times New Roman" w:hAnsi="Times New Roman" w:cs="Times New Roman"/>
          <w:sz w:val="24"/>
          <w:szCs w:val="24"/>
          <w:lang w:eastAsia="ru-RU"/>
        </w:rPr>
      </w:pPr>
      <w:proofErr w:type="gramStart"/>
      <w:r w:rsidRPr="00D4719C">
        <w:rPr>
          <w:rFonts w:ascii="Times New Roman" w:eastAsia="Times New Roman" w:hAnsi="Times New Roman" w:cs="Times New Roman"/>
          <w:sz w:val="24"/>
          <w:szCs w:val="24"/>
          <w:lang w:eastAsia="ru-RU"/>
        </w:rPr>
        <w:t xml:space="preserve">Необходимо отметить, что просроченная дебиторская задолженность по вышеуказанным доходам в годовой отчетности управления имущественных за отношений 2023 год  не отражена. </w:t>
      </w:r>
      <w:proofErr w:type="gramEnd"/>
    </w:p>
    <w:p w:rsidR="002B1A14" w:rsidRPr="00D4719C" w:rsidRDefault="002B1A14" w:rsidP="002B1A1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4719C">
        <w:rPr>
          <w:rFonts w:ascii="Times New Roman" w:eastAsia="Calibri" w:hAnsi="Times New Roman" w:cs="Times New Roman"/>
          <w:sz w:val="24"/>
          <w:szCs w:val="24"/>
          <w:lang w:eastAsia="ru-RU"/>
        </w:rPr>
        <w:t xml:space="preserve">Согласно </w:t>
      </w:r>
      <w:hyperlink r:id="rId9" w:history="1">
        <w:r w:rsidRPr="00D4719C">
          <w:rPr>
            <w:rFonts w:ascii="Times New Roman" w:eastAsia="Calibri" w:hAnsi="Times New Roman" w:cs="Times New Roman"/>
            <w:sz w:val="24"/>
            <w:szCs w:val="24"/>
            <w:u w:val="single"/>
            <w:lang w:eastAsia="ru-RU"/>
          </w:rPr>
          <w:t>пункта 92</w:t>
        </w:r>
      </w:hyperlink>
      <w:r w:rsidRPr="00D4719C">
        <w:rPr>
          <w:rFonts w:ascii="Times New Roman" w:eastAsia="Calibri" w:hAnsi="Times New Roman" w:cs="Times New Roman"/>
          <w:sz w:val="24"/>
          <w:szCs w:val="24"/>
          <w:lang w:eastAsia="ru-RU"/>
        </w:rPr>
        <w:t xml:space="preserve"> Приказа Минфина России от 16.12.2010 № 174н (ред. от 27.04.2023) «Об утверждении Плана счетов бухгалтерского учета бюджетных учреждений и Инструкции по его применению» для формирования информации в денежном выражении о наличии расчетов по доходам бюджетного учреждения и операций, изменяющих указанные объекты учета, применяются следующие группы счетов: 0 205 20 000 «Расчеты по доходам от собственности».</w:t>
      </w:r>
      <w:proofErr w:type="gramEnd"/>
    </w:p>
    <w:p w:rsidR="002B1A14" w:rsidRPr="00D4719C" w:rsidRDefault="002B1A14" w:rsidP="002B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proofErr w:type="gramStart"/>
      <w:r w:rsidRPr="00D4719C">
        <w:rPr>
          <w:rFonts w:ascii="Times New Roman" w:eastAsia="Calibri" w:hAnsi="Times New Roman" w:cs="Times New Roman"/>
          <w:sz w:val="24"/>
          <w:szCs w:val="24"/>
        </w:rPr>
        <w:t xml:space="preserve">В соответствии с требованиями Приказа Минфина России от 01.12.2010 №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157н) </w:t>
      </w:r>
      <w:r w:rsidRPr="00D4719C">
        <w:rPr>
          <w:rFonts w:ascii="Times New Roman" w:eastAsia="Calibri" w:hAnsi="Times New Roman" w:cs="Times New Roman"/>
          <w:bCs/>
          <w:sz w:val="24"/>
          <w:szCs w:val="24"/>
        </w:rPr>
        <w:t>учет расчетов по доходам, начисленных в момент возникновения требований к их плательщикам</w:t>
      </w:r>
      <w:proofErr w:type="gramEnd"/>
      <w:r w:rsidRPr="00D4719C">
        <w:rPr>
          <w:rFonts w:ascii="Times New Roman" w:eastAsia="Calibri" w:hAnsi="Times New Roman" w:cs="Times New Roman"/>
          <w:bCs/>
          <w:sz w:val="24"/>
          <w:szCs w:val="24"/>
        </w:rPr>
        <w:t xml:space="preserve">, а также поступление доходов на счет администратора доходов надлежит вести на счете 020500000 «Расчеты по доходам».  </w:t>
      </w:r>
    </w:p>
    <w:p w:rsidR="002B1A14" w:rsidRPr="00D4719C" w:rsidRDefault="002B1A14" w:rsidP="002B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D4719C">
        <w:rPr>
          <w:rFonts w:ascii="Times New Roman" w:eastAsia="Calibri" w:hAnsi="Times New Roman" w:cs="Times New Roman"/>
          <w:bCs/>
          <w:sz w:val="24"/>
          <w:szCs w:val="24"/>
        </w:rPr>
        <w:t xml:space="preserve">Аналитический учет расчетов следует вести в разрезе видов доходов (поступлений) по плательщикам  и соответствующим им суммам расчетов в Карточке учета средств и расчетов Управление имущественных отношений данный учет </w:t>
      </w:r>
      <w:r w:rsidRPr="00D4719C">
        <w:rPr>
          <w:rFonts w:ascii="Times New Roman" w:eastAsia="Calibri" w:hAnsi="Times New Roman" w:cs="Times New Roman"/>
          <w:b/>
          <w:bCs/>
          <w:i/>
          <w:sz w:val="24"/>
          <w:szCs w:val="24"/>
        </w:rPr>
        <w:t>не обеспечило</w:t>
      </w:r>
      <w:r w:rsidRPr="00D4719C">
        <w:rPr>
          <w:rFonts w:ascii="Times New Roman" w:eastAsia="Calibri" w:hAnsi="Times New Roman" w:cs="Times New Roman"/>
          <w:b/>
          <w:bCs/>
          <w:sz w:val="24"/>
          <w:szCs w:val="24"/>
        </w:rPr>
        <w:t>.</w:t>
      </w:r>
    </w:p>
    <w:p w:rsidR="002B1A14" w:rsidRPr="00D4719C" w:rsidRDefault="002B1A14" w:rsidP="002B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В соответствии с требованиями пунктом 167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объемы дебиторской задолженности указываются в Сведениях по дебиторской и кредиторской задолженности (форма 0503169).</w:t>
      </w:r>
    </w:p>
    <w:p w:rsidR="002B1A14" w:rsidRPr="00E51875" w:rsidRDefault="002B1A14" w:rsidP="002B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1875">
        <w:rPr>
          <w:rFonts w:ascii="Times New Roman" w:eastAsia="Times New Roman" w:hAnsi="Times New Roman" w:cs="Times New Roman"/>
          <w:sz w:val="24"/>
          <w:szCs w:val="24"/>
          <w:lang w:eastAsia="ru-RU"/>
        </w:rPr>
        <w:lastRenderedPageBreak/>
        <w:t xml:space="preserve">Работа с дебиторской задолженностью регламентируется Инструкцией № 157н, в том числе при признании дебиторской задолженности сомнительной </w:t>
      </w:r>
      <w:proofErr w:type="gramStart"/>
      <w:r w:rsidRPr="00E51875">
        <w:rPr>
          <w:rFonts w:ascii="Times New Roman" w:eastAsia="Times New Roman" w:hAnsi="Times New Roman" w:cs="Times New Roman"/>
          <w:sz w:val="24"/>
          <w:szCs w:val="24"/>
          <w:lang w:eastAsia="ru-RU"/>
        </w:rPr>
        <w:t>и о ее</w:t>
      </w:r>
      <w:proofErr w:type="gramEnd"/>
      <w:r w:rsidRPr="00E51875">
        <w:rPr>
          <w:rFonts w:ascii="Times New Roman" w:eastAsia="Times New Roman" w:hAnsi="Times New Roman" w:cs="Times New Roman"/>
          <w:sz w:val="24"/>
          <w:szCs w:val="24"/>
          <w:lang w:eastAsia="ru-RU"/>
        </w:rPr>
        <w:t xml:space="preserve"> списании с балансового учета.</w:t>
      </w:r>
    </w:p>
    <w:p w:rsidR="002B1A14" w:rsidRPr="00E51875" w:rsidRDefault="002B1A14" w:rsidP="002B1A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1875">
        <w:rPr>
          <w:rFonts w:ascii="Times New Roman" w:eastAsia="Calibri" w:hAnsi="Times New Roman" w:cs="Times New Roman"/>
          <w:sz w:val="24"/>
          <w:szCs w:val="24"/>
        </w:rPr>
        <w:t xml:space="preserve">В соответствии с </w:t>
      </w:r>
      <w:hyperlink r:id="rId10" w:history="1">
        <w:r w:rsidRPr="00E51875">
          <w:rPr>
            <w:rFonts w:ascii="Times New Roman" w:eastAsia="Calibri" w:hAnsi="Times New Roman" w:cs="Times New Roman"/>
            <w:sz w:val="24"/>
            <w:szCs w:val="24"/>
          </w:rPr>
          <w:t>пунктом 167</w:t>
        </w:r>
      </w:hyperlink>
      <w:r w:rsidRPr="00E51875">
        <w:rPr>
          <w:rFonts w:ascii="Times New Roman" w:eastAsia="Calibri" w:hAnsi="Times New Roman" w:cs="Times New Roman"/>
          <w:sz w:val="24"/>
          <w:szCs w:val="24"/>
        </w:rPr>
        <w:t xml:space="preserve"> Инструкции № 191н, в </w:t>
      </w:r>
      <w:hyperlink r:id="rId11" w:history="1">
        <w:r w:rsidRPr="00E51875">
          <w:rPr>
            <w:rFonts w:ascii="Times New Roman" w:eastAsia="Calibri" w:hAnsi="Times New Roman" w:cs="Times New Roman"/>
            <w:sz w:val="24"/>
            <w:szCs w:val="24"/>
          </w:rPr>
          <w:t>разделе 2</w:t>
        </w:r>
      </w:hyperlink>
      <w:r w:rsidRPr="00E51875">
        <w:rPr>
          <w:rFonts w:ascii="Times New Roman" w:eastAsia="Calibri" w:hAnsi="Times New Roman" w:cs="Times New Roman"/>
          <w:sz w:val="24"/>
          <w:szCs w:val="24"/>
        </w:rPr>
        <w:t xml:space="preserve"> Сведений о дебиторской и кредиторской задолженности (ф. 0503169) раскрывается аналитическая информация о просроченной дебиторской задолженности.</w:t>
      </w:r>
    </w:p>
    <w:p w:rsidR="002B1A14" w:rsidRPr="00E51875" w:rsidRDefault="002B1A14" w:rsidP="002B1A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E51875">
        <w:rPr>
          <w:rFonts w:ascii="Times New Roman" w:eastAsia="Calibri" w:hAnsi="Times New Roman" w:cs="Times New Roman"/>
          <w:sz w:val="24"/>
          <w:szCs w:val="24"/>
        </w:rPr>
        <w:t xml:space="preserve">При этом в </w:t>
      </w:r>
      <w:hyperlink r:id="rId12" w:history="1">
        <w:r w:rsidRPr="00E51875">
          <w:rPr>
            <w:rFonts w:ascii="Times New Roman" w:eastAsia="Calibri" w:hAnsi="Times New Roman" w:cs="Times New Roman"/>
            <w:sz w:val="24"/>
            <w:szCs w:val="24"/>
          </w:rPr>
          <w:t>графах 7</w:t>
        </w:r>
      </w:hyperlink>
      <w:r w:rsidRPr="00E51875">
        <w:rPr>
          <w:rFonts w:ascii="Times New Roman" w:eastAsia="Calibri" w:hAnsi="Times New Roman" w:cs="Times New Roman"/>
          <w:sz w:val="24"/>
          <w:szCs w:val="24"/>
        </w:rPr>
        <w:t xml:space="preserve">, </w:t>
      </w:r>
      <w:hyperlink r:id="rId13" w:history="1">
        <w:r w:rsidRPr="00E51875">
          <w:rPr>
            <w:rFonts w:ascii="Times New Roman" w:eastAsia="Calibri" w:hAnsi="Times New Roman" w:cs="Times New Roman"/>
            <w:sz w:val="24"/>
            <w:szCs w:val="24"/>
          </w:rPr>
          <w:t>8 раздела 2</w:t>
        </w:r>
      </w:hyperlink>
      <w:r w:rsidRPr="00E51875">
        <w:rPr>
          <w:rFonts w:ascii="Times New Roman" w:eastAsia="Calibri" w:hAnsi="Times New Roman" w:cs="Times New Roman"/>
          <w:sz w:val="24"/>
          <w:szCs w:val="24"/>
        </w:rPr>
        <w:t xml:space="preserve"> Сведений (ф. 0503169) указываются причины образования просроченной дебиторской задолженности учреждения, устанавливаемые финансовым органом.</w:t>
      </w:r>
    </w:p>
    <w:p w:rsidR="002B1A14" w:rsidRPr="00E51875" w:rsidRDefault="002B1A14" w:rsidP="002B1A14">
      <w:pPr>
        <w:shd w:val="clear" w:color="auto" w:fill="FFFFFF"/>
        <w:spacing w:after="0" w:line="240" w:lineRule="auto"/>
        <w:ind w:firstLine="709"/>
        <w:jc w:val="both"/>
        <w:rPr>
          <w:rFonts w:ascii="Arial" w:eastAsia="Times New Roman" w:hAnsi="Arial" w:cs="Arial"/>
          <w:color w:val="666666"/>
          <w:sz w:val="24"/>
          <w:szCs w:val="24"/>
          <w:lang w:eastAsia="ru-RU"/>
        </w:rPr>
      </w:pPr>
      <w:r w:rsidRPr="00E51875">
        <w:rPr>
          <w:rFonts w:ascii="Times New Roman" w:eastAsia="Times New Roman" w:hAnsi="Times New Roman" w:cs="Times New Roman"/>
          <w:color w:val="000000"/>
          <w:sz w:val="24"/>
          <w:szCs w:val="24"/>
          <w:lang w:eastAsia="ru-RU"/>
        </w:rPr>
        <w:t>С 2023 года Инструкцией № 157н установлен новый порядок ведения аналитического учета, которым предусмотрено отражение расчетов по дебиторской и кредиторской задолженностям не только в разрезе контрагентов, правовых оснований и видов валют, но также  и (см. п. 3 Инструкции  157н):</w:t>
      </w:r>
    </w:p>
    <w:p w:rsidR="002B1A14" w:rsidRPr="00D4719C" w:rsidRDefault="002B1A14" w:rsidP="002B1A14">
      <w:pPr>
        <w:shd w:val="clear" w:color="auto" w:fill="FFFFFF"/>
        <w:spacing w:after="0" w:line="240" w:lineRule="auto"/>
        <w:ind w:left="360"/>
        <w:jc w:val="both"/>
        <w:rPr>
          <w:rFonts w:ascii="Arial" w:eastAsia="Times New Roman" w:hAnsi="Arial" w:cs="Arial"/>
          <w:color w:val="000000"/>
          <w:sz w:val="24"/>
          <w:szCs w:val="24"/>
          <w:lang w:eastAsia="ru-RU"/>
        </w:rPr>
      </w:pPr>
      <w:r w:rsidRPr="00D4719C">
        <w:rPr>
          <w:rFonts w:ascii="Times New Roman" w:eastAsia="Times New Roman" w:hAnsi="Times New Roman" w:cs="Times New Roman"/>
          <w:color w:val="000000"/>
          <w:sz w:val="24"/>
          <w:szCs w:val="24"/>
          <w:lang w:eastAsia="ru-RU"/>
        </w:rPr>
        <w:t>- указывать </w:t>
      </w:r>
      <w:r w:rsidRPr="00D4719C">
        <w:rPr>
          <w:rFonts w:ascii="Times New Roman" w:eastAsia="Times New Roman" w:hAnsi="Times New Roman" w:cs="Times New Roman"/>
          <w:bCs/>
          <w:color w:val="000000"/>
          <w:sz w:val="24"/>
          <w:szCs w:val="24"/>
          <w:lang w:eastAsia="ru-RU"/>
        </w:rPr>
        <w:t>уникальный идентификатор контрагента</w:t>
      </w:r>
      <w:r w:rsidRPr="00D4719C">
        <w:rPr>
          <w:rFonts w:ascii="Times New Roman" w:eastAsia="Times New Roman" w:hAnsi="Times New Roman" w:cs="Times New Roman"/>
          <w:color w:val="000000"/>
          <w:sz w:val="24"/>
          <w:szCs w:val="24"/>
          <w:lang w:eastAsia="ru-RU"/>
        </w:rPr>
        <w:t>;</w:t>
      </w:r>
    </w:p>
    <w:p w:rsidR="002B1A14" w:rsidRPr="00D4719C" w:rsidRDefault="002B1A14" w:rsidP="002B1A14">
      <w:pPr>
        <w:shd w:val="clear" w:color="auto" w:fill="FFFFFF"/>
        <w:spacing w:after="0" w:line="240" w:lineRule="auto"/>
        <w:ind w:left="360"/>
        <w:jc w:val="both"/>
        <w:rPr>
          <w:rFonts w:ascii="Arial" w:eastAsia="Times New Roman" w:hAnsi="Arial" w:cs="Arial"/>
          <w:color w:val="000000"/>
          <w:sz w:val="24"/>
          <w:szCs w:val="24"/>
          <w:lang w:eastAsia="ru-RU"/>
        </w:rPr>
      </w:pPr>
      <w:r w:rsidRPr="00D4719C">
        <w:rPr>
          <w:rFonts w:ascii="Times New Roman" w:eastAsia="Times New Roman" w:hAnsi="Times New Roman" w:cs="Times New Roman"/>
          <w:color w:val="000000"/>
          <w:sz w:val="24"/>
          <w:szCs w:val="24"/>
          <w:lang w:eastAsia="ru-RU"/>
        </w:rPr>
        <w:t>- устанавливать </w:t>
      </w:r>
      <w:r w:rsidRPr="00D4719C">
        <w:rPr>
          <w:rFonts w:ascii="Times New Roman" w:eastAsia="Times New Roman" w:hAnsi="Times New Roman" w:cs="Times New Roman"/>
          <w:bCs/>
          <w:color w:val="000000"/>
          <w:sz w:val="24"/>
          <w:szCs w:val="24"/>
          <w:lang w:eastAsia="ru-RU"/>
        </w:rPr>
        <w:t>дату исполнения</w:t>
      </w:r>
      <w:r w:rsidRPr="00D4719C">
        <w:rPr>
          <w:rFonts w:ascii="Times New Roman" w:eastAsia="Times New Roman" w:hAnsi="Times New Roman" w:cs="Times New Roman"/>
          <w:color w:val="000000"/>
          <w:sz w:val="24"/>
          <w:szCs w:val="24"/>
          <w:lang w:eastAsia="ru-RU"/>
        </w:rPr>
        <w:t> возникновения расчетов.</w:t>
      </w:r>
    </w:p>
    <w:p w:rsidR="002B1A14" w:rsidRPr="00D4719C" w:rsidRDefault="002B1A14" w:rsidP="002B1A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color w:val="000000"/>
          <w:sz w:val="24"/>
          <w:szCs w:val="24"/>
          <w:lang w:eastAsia="ru-RU"/>
        </w:rPr>
        <w:t>Чтобы соответствовать новому порядку,  в це</w:t>
      </w:r>
      <w:bookmarkStart w:id="0" w:name="_GoBack"/>
      <w:bookmarkEnd w:id="0"/>
      <w:r w:rsidRPr="00D4719C">
        <w:rPr>
          <w:rFonts w:ascii="Times New Roman" w:eastAsia="Times New Roman" w:hAnsi="Times New Roman" w:cs="Times New Roman"/>
          <w:color w:val="000000"/>
          <w:sz w:val="24"/>
          <w:szCs w:val="24"/>
          <w:lang w:eastAsia="ru-RU"/>
        </w:rPr>
        <w:t>лях выявления просроченной дебиторской задолженности, а также достоверности бюджетной отчетности было направлено требование Министерства финансов Российской Федерации (письмо от 16.02.2023 № 2301-06/12981 о проведении администраторами доходов   инвентаризации по дебиторской задолженности в структуре показателей аналитического учета).</w:t>
      </w:r>
    </w:p>
    <w:p w:rsidR="002B1A14" w:rsidRPr="00D4719C" w:rsidRDefault="002B1A14" w:rsidP="002B1A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color w:val="000000"/>
          <w:sz w:val="24"/>
          <w:szCs w:val="24"/>
          <w:lang w:eastAsia="ru-RU"/>
        </w:rPr>
        <w:t>Основная цель инвентаризации – установление статуса и выявление просроченной задолженности, путем проверки и внесением даты возникновения и погашения каждой из имеющихся задолженностей.</w:t>
      </w:r>
    </w:p>
    <w:p w:rsidR="002B1A14" w:rsidRPr="00D4719C" w:rsidRDefault="002B1A14" w:rsidP="002B1A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color w:val="000000"/>
          <w:sz w:val="24"/>
          <w:szCs w:val="24"/>
          <w:lang w:eastAsia="ru-RU"/>
        </w:rPr>
        <w:t xml:space="preserve">Управлением имущественных отношений инвентаризация просроченной дебиторской задолженности по счетам 20500 «Расчеты по доходам» </w:t>
      </w:r>
      <w:r w:rsidRPr="00D4719C">
        <w:rPr>
          <w:rFonts w:ascii="Times New Roman" w:eastAsia="Calibri" w:hAnsi="Times New Roman" w:cs="Times New Roman"/>
          <w:color w:val="000000"/>
          <w:sz w:val="24"/>
          <w:szCs w:val="24"/>
        </w:rPr>
        <w:t xml:space="preserve">перед составлением годовой бюджетной отчетности, </w:t>
      </w:r>
      <w:r w:rsidRPr="00D4719C">
        <w:rPr>
          <w:rFonts w:ascii="Times New Roman" w:eastAsia="Times New Roman" w:hAnsi="Times New Roman" w:cs="Times New Roman"/>
          <w:color w:val="000000"/>
          <w:sz w:val="24"/>
          <w:szCs w:val="24"/>
          <w:lang w:eastAsia="ru-RU"/>
        </w:rPr>
        <w:t xml:space="preserve">по состоянию на 01.01.2024 года </w:t>
      </w:r>
      <w:r w:rsidRPr="00D4719C">
        <w:rPr>
          <w:rFonts w:ascii="Times New Roman" w:eastAsia="Times New Roman" w:hAnsi="Times New Roman" w:cs="Times New Roman"/>
          <w:i/>
          <w:color w:val="000000"/>
          <w:sz w:val="24"/>
          <w:szCs w:val="24"/>
          <w:lang w:eastAsia="ru-RU"/>
        </w:rPr>
        <w:t>не проводилась</w:t>
      </w:r>
      <w:r w:rsidRPr="00D4719C">
        <w:rPr>
          <w:rFonts w:ascii="Times New Roman" w:eastAsia="Times New Roman" w:hAnsi="Times New Roman" w:cs="Times New Roman"/>
          <w:color w:val="000000"/>
          <w:sz w:val="24"/>
          <w:szCs w:val="24"/>
          <w:lang w:eastAsia="ru-RU"/>
        </w:rPr>
        <w:t xml:space="preserve">, тем самым не выполнены требования Минфина РФ. </w:t>
      </w:r>
    </w:p>
    <w:p w:rsidR="002B1A14" w:rsidRPr="00D4719C" w:rsidRDefault="002B1A14" w:rsidP="002B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Порядок проведения инвентаризации устанавливается учреждением самостоятельно в составе учетной политике (ФСБУ «Учетная политика, оценочные значения и ошибки»).</w:t>
      </w:r>
    </w:p>
    <w:p w:rsidR="002B1A14" w:rsidRPr="00D4719C" w:rsidRDefault="002B1A14" w:rsidP="002B1A1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4719C">
        <w:rPr>
          <w:rFonts w:ascii="Times New Roman" w:eastAsia="Times New Roman" w:hAnsi="Times New Roman" w:cs="Times New Roman"/>
          <w:color w:val="000000"/>
          <w:sz w:val="24"/>
          <w:szCs w:val="24"/>
          <w:lang w:eastAsia="ru-RU"/>
        </w:rPr>
        <w:t xml:space="preserve">  В ходе анализа учетной политики учреждения установлено отсутствие порядка проведения инвентаризации по доходам,</w:t>
      </w:r>
      <w:r w:rsidRPr="00D4719C">
        <w:rPr>
          <w:rFonts w:ascii="Times New Roman" w:eastAsia="Calibri" w:hAnsi="Times New Roman" w:cs="Times New Roman"/>
          <w:color w:val="000000"/>
          <w:sz w:val="24"/>
          <w:szCs w:val="24"/>
        </w:rPr>
        <w:t xml:space="preserve"> а также правила проведения сверки расчетов (путем составления Актов сверки должна быть утверждена форма Акта, либо иным способом).</w:t>
      </w:r>
    </w:p>
    <w:p w:rsidR="002B1A14" w:rsidRPr="00D4719C" w:rsidRDefault="002B1A14" w:rsidP="002B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xml:space="preserve">Согласно информации УИО о действующих договорах </w:t>
      </w:r>
      <w:r w:rsidRPr="00D4719C">
        <w:rPr>
          <w:rFonts w:ascii="Times New Roman" w:eastAsia="Calibri" w:hAnsi="Times New Roman" w:cs="Times New Roman"/>
          <w:bCs/>
          <w:sz w:val="24"/>
          <w:szCs w:val="24"/>
        </w:rPr>
        <w:t xml:space="preserve">аренды муниципального имущества  </w:t>
      </w:r>
      <w:r w:rsidRPr="00D4719C">
        <w:rPr>
          <w:rFonts w:ascii="Times New Roman" w:eastAsia="Times New Roman" w:hAnsi="Times New Roman" w:cs="Times New Roman"/>
          <w:sz w:val="24"/>
          <w:szCs w:val="24"/>
          <w:lang w:eastAsia="ru-RU"/>
        </w:rPr>
        <w:t>в 2024 действовало 39 договоров,  из них дебиторскую задолженность имеют арендаторы по 21 договору на общую сумму 22 365 545,82 рублей.</w:t>
      </w:r>
    </w:p>
    <w:p w:rsidR="002B1A14" w:rsidRPr="00B519DE"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Cs/>
          <w:sz w:val="24"/>
          <w:szCs w:val="24"/>
        </w:rPr>
      </w:pPr>
      <w:r w:rsidRPr="00B519DE">
        <w:rPr>
          <w:rFonts w:ascii="Times New Roman" w:eastAsia="Calibri" w:hAnsi="Times New Roman" w:cs="Times New Roman"/>
          <w:bCs/>
          <w:sz w:val="24"/>
          <w:szCs w:val="24"/>
        </w:rPr>
        <w:t>По предоставленной выше информации установлено, что по 8 договорам аренды муниципального имущества по состоянию на 01.11.2024 года просроченная задолженность составляет 20 689 520,97 рублей.</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rPr>
      </w:pPr>
      <w:r w:rsidRPr="00B519DE">
        <w:rPr>
          <w:rFonts w:ascii="Times New Roman" w:eastAsia="Calibri" w:hAnsi="Times New Roman" w:cs="Times New Roman"/>
          <w:bCs/>
          <w:sz w:val="24"/>
          <w:szCs w:val="24"/>
        </w:rPr>
        <w:t>В соответствии требований</w:t>
      </w:r>
      <w:r w:rsidRPr="00D4719C">
        <w:rPr>
          <w:rFonts w:ascii="Times New Roman" w:eastAsia="Calibri" w:hAnsi="Times New Roman" w:cs="Times New Roman"/>
          <w:bCs/>
          <w:sz w:val="24"/>
          <w:szCs w:val="24"/>
        </w:rPr>
        <w:t xml:space="preserve"> </w:t>
      </w:r>
      <w:hyperlink r:id="rId14" w:history="1">
        <w:r w:rsidRPr="00D4719C">
          <w:rPr>
            <w:rFonts w:ascii="Times New Roman" w:eastAsia="Calibri" w:hAnsi="Times New Roman" w:cs="Times New Roman"/>
            <w:sz w:val="24"/>
            <w:szCs w:val="24"/>
            <w:u w:val="single"/>
          </w:rPr>
          <w:t>пункта 167</w:t>
        </w:r>
      </w:hyperlink>
      <w:r w:rsidRPr="00D4719C">
        <w:rPr>
          <w:rFonts w:ascii="Times New Roman" w:eastAsia="Calibri" w:hAnsi="Times New Roman" w:cs="Times New Roman"/>
          <w:sz w:val="24"/>
          <w:szCs w:val="24"/>
        </w:rPr>
        <w:t xml:space="preserve"> Инструкции 191н, неисполненная дебиторская задолженность при наступлении даты ее исполнения считается просроченной задолженностью и отражается в разделе 2 ф.0503169.</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color w:val="000000"/>
          <w:sz w:val="24"/>
          <w:szCs w:val="24"/>
          <w:lang w:eastAsia="ru-RU"/>
        </w:rPr>
        <w:t>Из общей суммы просроченной дебиторской задолженности наибольший объем составляет задолженность ООО «</w:t>
      </w:r>
      <w:proofErr w:type="gramStart"/>
      <w:r w:rsidRPr="00D4719C">
        <w:rPr>
          <w:rFonts w:ascii="Times New Roman" w:eastAsia="Times New Roman" w:hAnsi="Times New Roman" w:cs="Times New Roman"/>
          <w:color w:val="000000"/>
          <w:sz w:val="24"/>
          <w:szCs w:val="24"/>
          <w:lang w:eastAsia="ru-RU"/>
        </w:rPr>
        <w:t>П</w:t>
      </w:r>
      <w:proofErr w:type="gramEnd"/>
      <w:r w:rsidRPr="00D4719C">
        <w:rPr>
          <w:rFonts w:ascii="Times New Roman" w:eastAsia="Times New Roman" w:hAnsi="Times New Roman" w:cs="Times New Roman"/>
          <w:color w:val="000000"/>
          <w:sz w:val="24"/>
          <w:szCs w:val="24"/>
          <w:lang w:eastAsia="ru-RU"/>
        </w:rPr>
        <w:t>**» в размере 16 881 244,73 рублей или 81,6 % всей просроченной задолженности, ООО «Д**» в размере 2 957 346,86 рублей (14,3%).</w:t>
      </w:r>
    </w:p>
    <w:p w:rsidR="002B1A14" w:rsidRPr="00D4719C" w:rsidRDefault="002B1A14" w:rsidP="002B1A14">
      <w:pPr>
        <w:spacing w:after="0" w:line="293" w:lineRule="atLeast"/>
        <w:ind w:firstLine="567"/>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color w:val="000000"/>
          <w:sz w:val="24"/>
          <w:szCs w:val="24"/>
          <w:lang w:eastAsia="ru-RU"/>
        </w:rPr>
        <w:t xml:space="preserve">Тенденция </w:t>
      </w:r>
      <w:proofErr w:type="gramStart"/>
      <w:r w:rsidRPr="00D4719C">
        <w:rPr>
          <w:rFonts w:ascii="Times New Roman" w:eastAsia="Times New Roman" w:hAnsi="Times New Roman" w:cs="Times New Roman"/>
          <w:color w:val="000000"/>
          <w:sz w:val="24"/>
          <w:szCs w:val="24"/>
          <w:lang w:eastAsia="ru-RU"/>
        </w:rPr>
        <w:t xml:space="preserve">повышения уровня дебиторской задолженности </w:t>
      </w:r>
      <w:r w:rsidRPr="00D4719C">
        <w:rPr>
          <w:rFonts w:ascii="Times New Roman" w:eastAsia="Calibri" w:hAnsi="Times New Roman" w:cs="Times New Roman"/>
          <w:sz w:val="24"/>
          <w:szCs w:val="24"/>
        </w:rPr>
        <w:t>Управления имущественных отношений администрации</w:t>
      </w:r>
      <w:proofErr w:type="gramEnd"/>
      <w:r w:rsidRPr="00D4719C">
        <w:rPr>
          <w:rFonts w:ascii="Times New Roman" w:eastAsia="Calibri" w:hAnsi="Times New Roman" w:cs="Times New Roman"/>
          <w:sz w:val="24"/>
          <w:szCs w:val="24"/>
        </w:rPr>
        <w:t xml:space="preserve"> Кежемского района</w:t>
      </w:r>
      <w:r w:rsidRPr="00D4719C">
        <w:rPr>
          <w:rFonts w:ascii="Times New Roman" w:eastAsia="Times New Roman" w:hAnsi="Times New Roman" w:cs="Times New Roman"/>
          <w:color w:val="000000"/>
          <w:sz w:val="24"/>
          <w:szCs w:val="24"/>
          <w:lang w:eastAsia="ru-RU"/>
        </w:rPr>
        <w:t>, в том числе просроченной задолженности свидетельствует о недостаточности мер по её взысканию.</w:t>
      </w:r>
    </w:p>
    <w:p w:rsidR="002B1A14" w:rsidRPr="00D4719C" w:rsidRDefault="002B1A14" w:rsidP="002B1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D4719C">
        <w:rPr>
          <w:rFonts w:ascii="Times New Roman" w:eastAsia="Calibri" w:hAnsi="Times New Roman" w:cs="Times New Roman"/>
          <w:bCs/>
          <w:sz w:val="24"/>
          <w:szCs w:val="24"/>
        </w:rPr>
        <w:t>По состоянию на 01.11.2024 года по договорам коммерческого найма  жилого помещения недоимка по арендной плате с учетом прошлых лет  составила 307 042,21 тыс. рублей. И</w:t>
      </w:r>
      <w:r w:rsidRPr="00D4719C">
        <w:rPr>
          <w:rFonts w:ascii="Times New Roman" w:eastAsia="Calibri" w:hAnsi="Times New Roman" w:cs="Times New Roman"/>
          <w:sz w:val="24"/>
          <w:szCs w:val="24"/>
        </w:rPr>
        <w:t>з предоставленной информации Управления имущественных отношений администрации Кежемского района</w:t>
      </w:r>
      <w:r w:rsidRPr="00D4719C">
        <w:rPr>
          <w:rFonts w:ascii="Times New Roman" w:eastAsia="Calibri" w:hAnsi="Times New Roman" w:cs="Times New Roman"/>
          <w:bCs/>
          <w:sz w:val="24"/>
          <w:szCs w:val="24"/>
        </w:rPr>
        <w:t xml:space="preserve"> по должнику С. А.Д. задолженность в размере 83 134,04 рубля следует отнести к просроченной задолженности.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4719C">
        <w:rPr>
          <w:rFonts w:ascii="Times New Roman" w:eastAsia="Times New Roman" w:hAnsi="Times New Roman" w:cs="Times New Roman"/>
          <w:bCs/>
          <w:sz w:val="24"/>
          <w:szCs w:val="24"/>
          <w:lang w:eastAsia="ru-RU"/>
        </w:rPr>
        <w:t>Анализируя периодичность поступления арендных платежей по коммерческому найму жилых помещений можно сделать вывод, что в 2024</w:t>
      </w:r>
      <w:r w:rsidR="00203D2E" w:rsidRPr="00D4719C">
        <w:rPr>
          <w:rFonts w:ascii="Times New Roman" w:eastAsia="Times New Roman" w:hAnsi="Times New Roman" w:cs="Times New Roman"/>
          <w:bCs/>
          <w:sz w:val="24"/>
          <w:szCs w:val="24"/>
          <w:lang w:eastAsia="ru-RU"/>
        </w:rPr>
        <w:t xml:space="preserve"> </w:t>
      </w:r>
      <w:proofErr w:type="gramStart"/>
      <w:r w:rsidRPr="00D4719C">
        <w:rPr>
          <w:rFonts w:ascii="Times New Roman" w:eastAsia="Times New Roman" w:hAnsi="Times New Roman" w:cs="Times New Roman"/>
          <w:bCs/>
          <w:sz w:val="24"/>
          <w:szCs w:val="24"/>
          <w:lang w:eastAsia="ru-RU"/>
        </w:rPr>
        <w:t>году</w:t>
      </w:r>
      <w:proofErr w:type="gramEnd"/>
      <w:r w:rsidRPr="00D4719C">
        <w:rPr>
          <w:rFonts w:ascii="Times New Roman" w:eastAsia="Times New Roman" w:hAnsi="Times New Roman" w:cs="Times New Roman"/>
          <w:bCs/>
          <w:sz w:val="24"/>
          <w:szCs w:val="24"/>
          <w:lang w:eastAsia="ru-RU"/>
        </w:rPr>
        <w:t xml:space="preserve"> как и в предыдущем году </w:t>
      </w:r>
      <w:r w:rsidRPr="00D4719C">
        <w:rPr>
          <w:rFonts w:ascii="Times New Roman" w:eastAsia="Times New Roman" w:hAnsi="Times New Roman" w:cs="Times New Roman"/>
          <w:bCs/>
          <w:sz w:val="24"/>
          <w:szCs w:val="24"/>
          <w:lang w:eastAsia="ru-RU"/>
        </w:rPr>
        <w:lastRenderedPageBreak/>
        <w:t xml:space="preserve">нанимателями не исполнялись договорные обязательства по своевременному  внесению оплаты за наем жилого помещения.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D4719C">
        <w:rPr>
          <w:rFonts w:ascii="Times New Roman" w:eastAsia="Times New Roman" w:hAnsi="Times New Roman" w:cs="Times New Roman"/>
          <w:bCs/>
          <w:sz w:val="24"/>
          <w:szCs w:val="24"/>
          <w:lang w:eastAsia="ru-RU"/>
        </w:rPr>
        <w:t xml:space="preserve">По договорам служебного найма </w:t>
      </w:r>
      <w:r w:rsidRPr="00D4719C">
        <w:rPr>
          <w:rFonts w:ascii="Times New Roman" w:eastAsia="Calibri" w:hAnsi="Times New Roman" w:cs="Times New Roman"/>
          <w:bCs/>
          <w:sz w:val="24"/>
          <w:szCs w:val="24"/>
        </w:rPr>
        <w:t>недоимка по арендной плате с учетом прошлых лет по состоянию на 01.01.2024 года составила 205 300,35 рублей, за 11 месяцев 2024 года задолженность уменьшилась на 125 253,77 рублей и составила 80 046,58 рублей.</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  По состоянию на 01.01.2024 года Управлением имущественных отношений администрации Кежемского района, заключено договоров аренды земельных участков с арендаторами – 142</w:t>
      </w:r>
      <w:r w:rsidR="008E752E" w:rsidRPr="00D4719C">
        <w:rPr>
          <w:rFonts w:ascii="Times New Roman" w:eastAsia="Calibri" w:hAnsi="Times New Roman" w:cs="Times New Roman"/>
          <w:sz w:val="24"/>
          <w:szCs w:val="24"/>
        </w:rPr>
        <w:t xml:space="preserve"> </w:t>
      </w:r>
      <w:proofErr w:type="spellStart"/>
      <w:proofErr w:type="gramStart"/>
      <w:r w:rsidRPr="00D4719C">
        <w:rPr>
          <w:rFonts w:ascii="Times New Roman" w:eastAsia="Calibri" w:hAnsi="Times New Roman" w:cs="Times New Roman"/>
          <w:sz w:val="24"/>
          <w:szCs w:val="24"/>
        </w:rPr>
        <w:t>шт</w:t>
      </w:r>
      <w:proofErr w:type="spellEnd"/>
      <w:proofErr w:type="gramEnd"/>
      <w:r w:rsidRPr="00D4719C">
        <w:rPr>
          <w:rFonts w:ascii="Times New Roman" w:eastAsia="Calibri" w:hAnsi="Times New Roman" w:cs="Times New Roman"/>
          <w:sz w:val="24"/>
          <w:szCs w:val="24"/>
        </w:rPr>
        <w:t xml:space="preserve">, в том числе: </w:t>
      </w:r>
    </w:p>
    <w:p w:rsidR="002B1A14" w:rsidRPr="00D4719C" w:rsidRDefault="002B1A14" w:rsidP="002B1A14">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719C">
        <w:rPr>
          <w:rFonts w:ascii="Times New Roman" w:eastAsia="Calibri" w:hAnsi="Times New Roman" w:cs="Times New Roman"/>
          <w:sz w:val="24"/>
          <w:szCs w:val="24"/>
          <w:lang w:eastAsia="ru-RU"/>
        </w:rPr>
        <w:t xml:space="preserve"> с юридическими лицами – 67;</w:t>
      </w:r>
    </w:p>
    <w:p w:rsidR="002B1A14" w:rsidRPr="00D4719C" w:rsidRDefault="002B1A14" w:rsidP="002B1A14">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719C">
        <w:rPr>
          <w:rFonts w:ascii="Times New Roman" w:eastAsia="Calibri" w:hAnsi="Times New Roman" w:cs="Times New Roman"/>
          <w:sz w:val="24"/>
          <w:szCs w:val="24"/>
          <w:lang w:eastAsia="ru-RU"/>
        </w:rPr>
        <w:t xml:space="preserve"> с физическими лицами –</w:t>
      </w:r>
      <w:r w:rsidR="008E752E" w:rsidRPr="00D4719C">
        <w:rPr>
          <w:rFonts w:ascii="Times New Roman" w:eastAsia="Calibri" w:hAnsi="Times New Roman" w:cs="Times New Roman"/>
          <w:sz w:val="24"/>
          <w:szCs w:val="24"/>
          <w:lang w:eastAsia="ru-RU"/>
        </w:rPr>
        <w:t xml:space="preserve"> </w:t>
      </w:r>
      <w:r w:rsidRPr="00D4719C">
        <w:rPr>
          <w:rFonts w:ascii="Times New Roman" w:eastAsia="Calibri" w:hAnsi="Times New Roman" w:cs="Times New Roman"/>
          <w:sz w:val="24"/>
          <w:szCs w:val="24"/>
          <w:lang w:eastAsia="ru-RU"/>
        </w:rPr>
        <w:t>65;</w:t>
      </w:r>
    </w:p>
    <w:p w:rsidR="002B1A14" w:rsidRPr="00D4719C" w:rsidRDefault="002B1A14" w:rsidP="002B1A14">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719C">
        <w:rPr>
          <w:rFonts w:ascii="Times New Roman" w:eastAsia="Calibri" w:hAnsi="Times New Roman" w:cs="Times New Roman"/>
          <w:sz w:val="24"/>
          <w:szCs w:val="24"/>
          <w:lang w:eastAsia="ru-RU"/>
        </w:rPr>
        <w:t xml:space="preserve"> с индивидуальными предпринимателями - 10.</w:t>
      </w:r>
    </w:p>
    <w:p w:rsidR="002B1A14" w:rsidRPr="00226B6B"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26B6B">
        <w:rPr>
          <w:rFonts w:ascii="Times New Roman" w:eastAsia="Calibri" w:hAnsi="Times New Roman" w:cs="Times New Roman"/>
          <w:sz w:val="24"/>
          <w:szCs w:val="24"/>
        </w:rPr>
        <w:t>Недоимка по договорам аренды земельных участков с арендаторами на 01.01.2024 года составила в сумме 8 639 673,55тыс</w:t>
      </w:r>
      <w:proofErr w:type="gramStart"/>
      <w:r w:rsidRPr="00226B6B">
        <w:rPr>
          <w:rFonts w:ascii="Times New Roman" w:eastAsia="Calibri" w:hAnsi="Times New Roman" w:cs="Times New Roman"/>
          <w:sz w:val="24"/>
          <w:szCs w:val="24"/>
        </w:rPr>
        <w:t>.р</w:t>
      </w:r>
      <w:proofErr w:type="gramEnd"/>
      <w:r w:rsidRPr="00226B6B">
        <w:rPr>
          <w:rFonts w:ascii="Times New Roman" w:eastAsia="Calibri" w:hAnsi="Times New Roman" w:cs="Times New Roman"/>
          <w:sz w:val="24"/>
          <w:szCs w:val="24"/>
        </w:rPr>
        <w:t>ублей, по состоянию на 01.11.2024 года задолженность увеличилась на 3 444 166,67 рублей и составила 12 083 840,22  рублей.</w:t>
      </w:r>
    </w:p>
    <w:p w:rsidR="002B1A14" w:rsidRPr="00226B6B"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26B6B">
        <w:rPr>
          <w:rFonts w:ascii="Times New Roman" w:eastAsia="Calibri" w:hAnsi="Times New Roman" w:cs="Times New Roman"/>
          <w:sz w:val="24"/>
          <w:szCs w:val="24"/>
        </w:rPr>
        <w:t>Из</w:t>
      </w:r>
      <w:r w:rsidR="005B43E4" w:rsidRPr="00226B6B">
        <w:rPr>
          <w:rFonts w:ascii="Times New Roman" w:eastAsia="Calibri" w:hAnsi="Times New Roman" w:cs="Times New Roman"/>
          <w:sz w:val="24"/>
          <w:szCs w:val="24"/>
        </w:rPr>
        <w:t xml:space="preserve"> </w:t>
      </w:r>
      <w:r w:rsidRPr="00226B6B">
        <w:rPr>
          <w:rFonts w:ascii="Times New Roman" w:eastAsia="Calibri" w:hAnsi="Times New Roman" w:cs="Times New Roman"/>
          <w:sz w:val="24"/>
          <w:szCs w:val="24"/>
        </w:rPr>
        <w:t xml:space="preserve">предоставленных сведений по исполнению оплаты договоров аренды задолженность, которых превышает 20 000,0 рублей установлено, что общая сумма задолженности по 15 арендаторам, долг которых превышает свыше 20 000 рублей по состоянию на 01.11.2024 г. составляет  11 965 973,61 тыс. рублей.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26B6B">
        <w:rPr>
          <w:rFonts w:ascii="Times New Roman" w:eastAsia="Calibri" w:hAnsi="Times New Roman" w:cs="Times New Roman"/>
          <w:sz w:val="24"/>
          <w:szCs w:val="24"/>
        </w:rPr>
        <w:t>Необходимо отметить, что учет начисления арендной</w:t>
      </w:r>
      <w:r w:rsidRPr="00D4719C">
        <w:rPr>
          <w:rFonts w:ascii="Times New Roman" w:eastAsia="Calibri" w:hAnsi="Times New Roman" w:cs="Times New Roman"/>
          <w:sz w:val="24"/>
          <w:szCs w:val="24"/>
        </w:rPr>
        <w:t xml:space="preserve"> платы по договорам Управлением имущественных отношений осуществляется без применения программного продукта.</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D4719C">
        <w:rPr>
          <w:rFonts w:ascii="Times New Roman" w:eastAsia="Calibri" w:hAnsi="Times New Roman" w:cs="Times New Roman"/>
          <w:b/>
          <w:bCs/>
          <w:color w:val="FF0000"/>
          <w:sz w:val="24"/>
          <w:szCs w:val="24"/>
        </w:rPr>
        <w:tab/>
      </w:r>
      <w:r w:rsidRPr="00D4719C">
        <w:rPr>
          <w:rFonts w:ascii="Times New Roman" w:eastAsia="Calibri" w:hAnsi="Times New Roman" w:cs="Times New Roman"/>
          <w:bCs/>
          <w:sz w:val="24"/>
          <w:szCs w:val="24"/>
        </w:rPr>
        <w:t xml:space="preserve">Выявление тенденций возникновения и роста дебиторской задолженности, анализ задолженности в районный бюджет по состоянию на 01.11.2024 года и оценка мер, принимаемых должностными лицами объекта контроля по востребованности задолженности. </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По состоянию на 01.11.2024 года общий объем дебиторской задолженности по неналоговым доходам, администрируемым управлением имущественных отношений, по сравнению с показателем 2023 года (с 25 009 737,17 рублей до 34 836 474,83 рублей) возрос на 39,2 % или +9 826 737 ,66 рублей.</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Сумма сомнительных долгов, которые с высокой степенью вероятности не будут </w:t>
      </w:r>
      <w:proofErr w:type="gramStart"/>
      <w:r w:rsidRPr="00D4719C">
        <w:rPr>
          <w:rFonts w:ascii="Times New Roman" w:eastAsia="Calibri" w:hAnsi="Times New Roman" w:cs="Times New Roman"/>
          <w:sz w:val="24"/>
          <w:szCs w:val="24"/>
        </w:rPr>
        <w:t>погашены</w:t>
      </w:r>
      <w:proofErr w:type="gramEnd"/>
      <w:r w:rsidRPr="00D4719C">
        <w:rPr>
          <w:rFonts w:ascii="Times New Roman" w:eastAsia="Calibri" w:hAnsi="Times New Roman" w:cs="Times New Roman"/>
          <w:sz w:val="24"/>
          <w:szCs w:val="24"/>
        </w:rPr>
        <w:t xml:space="preserve"> достигла величины 6 481 694,54 рублей, или 18,6 % от всей дебиторской задолженности.</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 В целях погашения задолженности по арендной плате, Управлением имущественным администрации Кежемского района проводятся следующие мероприятия:</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направляются претензионные письма об имеющейся задолженности с установлением сроков ее погашения;</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готовятся исковые заявления в суд.</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В проверяемом периоде по взысканию задолженности по арендной плате за аренду муниципального имущества проведены следующие мероприятия: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направлены претензионные письма 8 арендаторам;</w:t>
      </w:r>
    </w:p>
    <w:p w:rsidR="002B1A14" w:rsidRPr="00D4719C" w:rsidRDefault="002B1A14" w:rsidP="002B1A14">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bidi="hi-IN"/>
        </w:rPr>
        <w:t>количество предъявленных исковых заявлений в арбитражный суд – 4, на общую сумму 5 703 367,6 рублей, из них один иск удовлетворён на сумму 264 193,54 рублей.</w:t>
      </w:r>
    </w:p>
    <w:p w:rsidR="002B1A14" w:rsidRPr="00D4719C" w:rsidRDefault="002B1A14" w:rsidP="002B1A14">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 xml:space="preserve">Принимая во внимание вышеизложенные факты, можно сделать вывод, что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 xml:space="preserve">-исковой работой в 2024 году охвачено 33,2% (7 428 000,97 руб.) и лишь 3,5% (264 193,54 руб.) претензий удовлетворены, исковая деятельность в проверяемом периоде применялась недостаточно эффективно, что свидетельствует о </w:t>
      </w:r>
      <w:bookmarkStart w:id="1" w:name="_Hlk176963695"/>
      <w:r w:rsidRPr="00D4719C">
        <w:rPr>
          <w:rFonts w:ascii="Times New Roman" w:eastAsia="Times New Roman" w:hAnsi="Times New Roman" w:cs="Times New Roman"/>
          <w:sz w:val="24"/>
          <w:szCs w:val="24"/>
          <w:lang w:eastAsia="ru-RU" w:bidi="hi-IN"/>
        </w:rPr>
        <w:t>неудовлетворительном уровне организации работы по сокращению</w:t>
      </w:r>
      <w:bookmarkEnd w:id="1"/>
      <w:r w:rsidRPr="00D4719C">
        <w:rPr>
          <w:rFonts w:ascii="Times New Roman" w:eastAsia="Times New Roman" w:hAnsi="Times New Roman" w:cs="Times New Roman"/>
          <w:sz w:val="24"/>
          <w:szCs w:val="24"/>
          <w:lang w:eastAsia="ru-RU" w:bidi="hi-IN"/>
        </w:rPr>
        <w:t xml:space="preserve"> просроченной дебиторской задолженности. </w:t>
      </w:r>
    </w:p>
    <w:p w:rsidR="002B1A14" w:rsidRPr="00D4719C" w:rsidRDefault="002B1A14" w:rsidP="002B1A14">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 xml:space="preserve">Низкий уровень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 xml:space="preserve">-исковой деятельности влечет переход задолженности в разряд безнадежной ввиду пропуска сроков исковой давности, ликвидации должников или переход их в стадии банкротства.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Из представленных сведений управления имущественных отношений администрации Кежемского района по состоянию на 01.11.2024 года задолженность по арендной плате за земельные участки в бюджет района  составила 12 083 840,22 рублей, по сравнению с предыдущим годом (на 01.01.2024 года -  8 639 673,55 рублей) рост задолженности составил 3 444 166,67 рублей.</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lastRenderedPageBreak/>
        <w:t>В целях погашения задолженности по арендной плате, Управлением имущественным администрации Кежемского района проводятся следующие мероприятия:</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направляются претензионные письма об имеющейся задолженности с установлением сроков ее погашения.</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  В проверяемом периоде по взысканию задолженности по арендной плате за аренду земельных участков проведены следующие мероприятия: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направлены претензионные письма 18 арендаторам.</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Анализ поступлений арендной платы показал, что в 2024 году не всеми арендаторами исполнялись договорные обязательства по внесению ежемесячных платежей.</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Наибольшую задолженность по арендной плате за земельные участки по состоянию на 01.11.2024 г.  образовалась у следующих арендаторов:</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 КМУП </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задолженность на 01.11.2024 г. составила 1 098 029,93 рублей, на арендатора направлено исковое заявление в арбитражный суд, иск удовлетворён на сумму 1 016 087,41 рубль;</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FF0000"/>
          <w:sz w:val="24"/>
          <w:szCs w:val="24"/>
        </w:rPr>
      </w:pPr>
      <w:r w:rsidRPr="00D4719C">
        <w:rPr>
          <w:rFonts w:ascii="Times New Roman" w:eastAsia="Calibri" w:hAnsi="Times New Roman" w:cs="Times New Roman"/>
          <w:sz w:val="24"/>
          <w:szCs w:val="24"/>
        </w:rPr>
        <w:t>- КФХ Б</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И</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В</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задолженность на 01.11.2024 г. составила 1 265 288,53 рублей, на арендатора направлено исковое заявление в арбитражный суд, иск удовлетворён на сумму 618 772,99 рубль</w:t>
      </w:r>
      <w:r w:rsidRPr="00D4719C">
        <w:rPr>
          <w:rFonts w:ascii="Times New Roman" w:eastAsia="Calibri" w:hAnsi="Times New Roman" w:cs="Times New Roman"/>
          <w:color w:val="FF0000"/>
          <w:sz w:val="24"/>
          <w:szCs w:val="24"/>
        </w:rPr>
        <w:t>;</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ООО «</w:t>
      </w:r>
      <w:proofErr w:type="gramStart"/>
      <w:r w:rsidRPr="00D4719C">
        <w:rPr>
          <w:rFonts w:ascii="Times New Roman" w:eastAsia="Calibri" w:hAnsi="Times New Roman" w:cs="Times New Roman"/>
          <w:sz w:val="24"/>
          <w:szCs w:val="24"/>
        </w:rPr>
        <w:t>Р</w:t>
      </w:r>
      <w:proofErr w:type="gramEnd"/>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задолженность на 01.11.2024 г. составила 1 284 824,32 рублей.</w:t>
      </w:r>
      <w:r w:rsidR="005B43E4" w:rsidRPr="00D4719C">
        <w:rPr>
          <w:rFonts w:ascii="Times New Roman" w:eastAsia="Calibri" w:hAnsi="Times New Roman" w:cs="Times New Roman"/>
          <w:sz w:val="24"/>
          <w:szCs w:val="24"/>
        </w:rPr>
        <w:t xml:space="preserve"> </w:t>
      </w:r>
      <w:r w:rsidRPr="00D4719C">
        <w:rPr>
          <w:rFonts w:ascii="Times New Roman" w:eastAsia="Calibri" w:hAnsi="Times New Roman" w:cs="Times New Roman"/>
          <w:sz w:val="24"/>
          <w:szCs w:val="24"/>
        </w:rPr>
        <w:t>На должника Управлением имущественных отношений готовиться исковое заявление в арбитражный суд;</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ООО «А</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задолженность на 01.11.2024 г. составила 4 058 795,63 рублей, на арендатора направлено 4 исковых заявления в арбитражный суд, иск удовлетворён на сумму 3 371 277,54 рубль. На момент проверки,</w:t>
      </w:r>
      <w:r w:rsidR="005B43E4" w:rsidRPr="00D4719C">
        <w:rPr>
          <w:rFonts w:ascii="Times New Roman" w:eastAsia="Calibri" w:hAnsi="Times New Roman" w:cs="Times New Roman"/>
          <w:sz w:val="24"/>
          <w:szCs w:val="24"/>
        </w:rPr>
        <w:t xml:space="preserve"> </w:t>
      </w:r>
      <w:r w:rsidRPr="00D4719C">
        <w:rPr>
          <w:rFonts w:ascii="Times New Roman" w:eastAsia="Calibri" w:hAnsi="Times New Roman" w:cs="Times New Roman"/>
          <w:sz w:val="24"/>
          <w:szCs w:val="24"/>
        </w:rPr>
        <w:t>согласно информации Управления имущественных отношений, задолженность не погашена;</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ООО А</w:t>
      </w:r>
      <w:r w:rsidR="005B43E4"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задолженность на 01.11.2024 г. составила 3 036 551,4 рублей. В 2024 году </w:t>
      </w:r>
      <w:r w:rsidRPr="00D4719C">
        <w:rPr>
          <w:rFonts w:ascii="Times New Roman" w:eastAsia="Times New Roman" w:hAnsi="Times New Roman" w:cs="Times New Roman"/>
          <w:color w:val="000000"/>
          <w:sz w:val="24"/>
          <w:szCs w:val="24"/>
          <w:lang w:eastAsia="ru-RU"/>
        </w:rPr>
        <w:t>мероприятия по взысканию задолженности в районный бюджет не проводилась.</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По состоянию на 01.11.2024 года в связи с прекращением деятельности арендаторов, а также пребывания в настоящее время должников в стадии банкротства и ликвидации имеет признаки безнадежной к взысканию задолженности по 5 договорам аренды, в общей сумме 6 189 044,74 рублей, (17,8 % от общего объема задолженности).</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По причине несвоевременного применения мер и не соблюдения Управлением имущественным управлением процедуры взыскания (</w:t>
      </w:r>
      <w:proofErr w:type="spellStart"/>
      <w:r w:rsidRPr="00D4719C">
        <w:rPr>
          <w:rFonts w:ascii="Times New Roman" w:eastAsia="Calibri" w:hAnsi="Times New Roman" w:cs="Times New Roman"/>
          <w:sz w:val="24"/>
          <w:szCs w:val="24"/>
        </w:rPr>
        <w:t>претензионно</w:t>
      </w:r>
      <w:proofErr w:type="spellEnd"/>
      <w:r w:rsidRPr="00D4719C">
        <w:rPr>
          <w:rFonts w:ascii="Times New Roman" w:eastAsia="Calibri" w:hAnsi="Times New Roman" w:cs="Times New Roman"/>
          <w:sz w:val="24"/>
          <w:szCs w:val="24"/>
        </w:rPr>
        <w:t>-исковой работы, исполнительного производства) часть вышеуказанной задолженности может стать нереальной к списанию по причине отсутствия документов, подтверждающих наличия оснований для принятия решений о признании задолженности безнадежной в соответствии со статьей 47.2 Бюджетного кодекса.</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Также проверкой установлено, что в 2023-2024 годах при предоставлении в аренду земельных участков, </w:t>
      </w:r>
      <w:r w:rsidRPr="00D4719C">
        <w:rPr>
          <w:rFonts w:ascii="Times New Roman" w:eastAsia="Calibri" w:hAnsi="Times New Roman" w:cs="Times New Roman"/>
          <w:color w:val="000000"/>
          <w:sz w:val="24"/>
          <w:szCs w:val="24"/>
        </w:rPr>
        <w:t xml:space="preserve">аренду </w:t>
      </w:r>
      <w:proofErr w:type="gramStart"/>
      <w:r w:rsidRPr="00D4719C">
        <w:rPr>
          <w:rFonts w:ascii="Times New Roman" w:eastAsia="Calibri" w:hAnsi="Times New Roman" w:cs="Times New Roman"/>
          <w:color w:val="000000"/>
          <w:sz w:val="24"/>
          <w:szCs w:val="24"/>
        </w:rPr>
        <w:t>имущества, составляющего казну муниципальных районов</w:t>
      </w:r>
      <w:r w:rsidRPr="00D4719C">
        <w:rPr>
          <w:rFonts w:ascii="Times New Roman" w:eastAsia="Calibri" w:hAnsi="Times New Roman" w:cs="Times New Roman"/>
          <w:sz w:val="24"/>
          <w:szCs w:val="24"/>
        </w:rPr>
        <w:t xml:space="preserve"> Управлением имущественных отношений за нарушение срока внесения арендной платы пени не начислялись</w:t>
      </w:r>
      <w:proofErr w:type="gramEnd"/>
      <w:r w:rsidRPr="00D4719C">
        <w:rPr>
          <w:rFonts w:ascii="Times New Roman" w:eastAsia="Calibri" w:hAnsi="Times New Roman" w:cs="Times New Roman"/>
          <w:sz w:val="24"/>
          <w:szCs w:val="24"/>
        </w:rPr>
        <w:t>.</w:t>
      </w:r>
    </w:p>
    <w:p w:rsidR="002B1A14" w:rsidRPr="00D4719C" w:rsidRDefault="002B1A14" w:rsidP="002B1A14">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4719C">
        <w:rPr>
          <w:rFonts w:ascii="Times New Roman" w:eastAsia="Times New Roman" w:hAnsi="Times New Roman" w:cs="Times New Roman"/>
          <w:bCs/>
          <w:color w:val="000000"/>
          <w:sz w:val="24"/>
          <w:szCs w:val="24"/>
          <w:lang w:eastAsia="ru-RU"/>
        </w:rPr>
        <w:t>Анализ безнадежной к взысканию дебиторской задолженности показал, что в</w:t>
      </w:r>
      <w:r w:rsidRPr="00D4719C">
        <w:rPr>
          <w:rFonts w:ascii="Times New Roman" w:eastAsia="Times New Roman" w:hAnsi="Times New Roman" w:cs="Times New Roman"/>
          <w:color w:val="000000"/>
          <w:sz w:val="24"/>
          <w:szCs w:val="24"/>
          <w:lang w:eastAsia="ru-RU"/>
        </w:rPr>
        <w:t xml:space="preserve"> 2024 году решения о признании безнадежной к взысканию задолженности по платежам в районный бюджет не принимались.</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Таким образом, неуплата в районный бюджет значительной суммы арендных платежей в</w:t>
      </w:r>
      <w:r w:rsidR="005B43E4"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rPr>
        <w:t>установленные</w:t>
      </w:r>
      <w:r w:rsidR="005B43E4"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rPr>
        <w:t xml:space="preserve">сроки еще раз свидетельствует о недостаточном контроле главного администратора доходов за поступлениями неналоговых доходов, </w:t>
      </w:r>
      <w:r w:rsidRPr="00D4719C">
        <w:rPr>
          <w:rFonts w:ascii="Times New Roman" w:eastAsia="Times New Roman" w:hAnsi="Times New Roman" w:cs="Times New Roman"/>
          <w:sz w:val="24"/>
          <w:szCs w:val="24"/>
          <w:lang w:eastAsia="ru-RU" w:bidi="hi-IN"/>
        </w:rPr>
        <w:t xml:space="preserve">отсутствие мероприятий, направленных на взыскание дебиторской задолженности по доходам и видам платежей;  отсутствие перечня сотрудников, ответственных за работу с дебиторской задолженностью по доходам; </w:t>
      </w:r>
      <w:proofErr w:type="gramStart"/>
      <w:r w:rsidRPr="00D4719C">
        <w:rPr>
          <w:rFonts w:ascii="Times New Roman" w:eastAsia="Times New Roman" w:hAnsi="Times New Roman" w:cs="Times New Roman"/>
          <w:sz w:val="24"/>
          <w:szCs w:val="24"/>
          <w:lang w:eastAsia="ru-RU" w:bidi="hi-IN"/>
        </w:rPr>
        <w:t xml:space="preserve">недостаточный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проведение сверки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w:t>
      </w:r>
      <w:r w:rsidRPr="00D4719C">
        <w:rPr>
          <w:rFonts w:ascii="Times New Roman" w:eastAsia="Times New Roman" w:hAnsi="Times New Roman" w:cs="Times New Roman"/>
          <w:sz w:val="24"/>
          <w:szCs w:val="24"/>
          <w:lang w:eastAsia="ru-RU" w:bidi="hi-IN"/>
        </w:rPr>
        <w:lastRenderedPageBreak/>
        <w:t>задолженности по доходам сомнительной</w:t>
      </w:r>
      <w:proofErr w:type="gramEnd"/>
      <w:r w:rsidRPr="00D4719C">
        <w:rPr>
          <w:rFonts w:ascii="Times New Roman" w:eastAsia="Times New Roman" w:hAnsi="Times New Roman" w:cs="Times New Roman"/>
          <w:sz w:val="24"/>
          <w:szCs w:val="24"/>
          <w:lang w:eastAsia="ru-RU" w:bidi="hi-IN"/>
        </w:rPr>
        <w:t xml:space="preserve">; </w:t>
      </w:r>
      <w:r w:rsidRPr="00D4719C">
        <w:rPr>
          <w:rFonts w:ascii="Times New Roman" w:eastAsia="Times New Roman" w:hAnsi="Times New Roman" w:cs="Times New Roman"/>
          <w:sz w:val="24"/>
          <w:szCs w:val="24"/>
          <w:lang w:eastAsia="ru-RU"/>
        </w:rPr>
        <w:t xml:space="preserve">низкий уровень </w:t>
      </w:r>
      <w:proofErr w:type="spellStart"/>
      <w:r w:rsidRPr="00D4719C">
        <w:rPr>
          <w:rFonts w:ascii="Times New Roman" w:eastAsia="Times New Roman" w:hAnsi="Times New Roman" w:cs="Times New Roman"/>
          <w:sz w:val="24"/>
          <w:szCs w:val="24"/>
          <w:lang w:eastAsia="ru-RU"/>
        </w:rPr>
        <w:t>претензионно</w:t>
      </w:r>
      <w:proofErr w:type="spellEnd"/>
      <w:r w:rsidRPr="00D4719C">
        <w:rPr>
          <w:rFonts w:ascii="Times New Roman" w:eastAsia="Times New Roman" w:hAnsi="Times New Roman" w:cs="Times New Roman"/>
          <w:sz w:val="24"/>
          <w:szCs w:val="24"/>
          <w:lang w:eastAsia="ru-RU"/>
        </w:rPr>
        <w:t>–исковой деятельности.</w:t>
      </w:r>
    </w:p>
    <w:p w:rsidR="002B1A14" w:rsidRPr="00226B6B" w:rsidRDefault="002B1A14" w:rsidP="002B1A14">
      <w:pPr>
        <w:spacing w:after="0" w:line="240" w:lineRule="auto"/>
        <w:ind w:firstLine="709"/>
        <w:contextualSpacing/>
        <w:jc w:val="both"/>
        <w:rPr>
          <w:rFonts w:ascii="Times New Roman" w:eastAsia="Times New Roman" w:hAnsi="Times New Roman" w:cs="Times New Roman"/>
          <w:i/>
          <w:sz w:val="24"/>
          <w:szCs w:val="24"/>
          <w:lang w:eastAsia="ru-RU"/>
        </w:rPr>
      </w:pPr>
      <w:r w:rsidRPr="00226B6B">
        <w:rPr>
          <w:rFonts w:ascii="Times New Roman" w:eastAsia="Calibri" w:hAnsi="Times New Roman" w:cs="Times New Roman"/>
          <w:bCs/>
          <w:i/>
          <w:sz w:val="24"/>
          <w:szCs w:val="24"/>
          <w:lang w:eastAsia="ru-RU"/>
        </w:rPr>
        <w:t xml:space="preserve"> Выявление факторов возникновения и роста дебиторской задолженности, анализ задолженности в районный бюджет и оценка мер, принимаемых должностными лицами </w:t>
      </w:r>
      <w:r w:rsidRPr="00226B6B">
        <w:rPr>
          <w:rFonts w:ascii="Times New Roman" w:eastAsia="Times New Roman" w:hAnsi="Times New Roman" w:cs="Times New Roman"/>
          <w:i/>
          <w:sz w:val="24"/>
          <w:szCs w:val="24"/>
          <w:lang w:eastAsia="ru-RU"/>
        </w:rPr>
        <w:t>Администрации города Кодинск</w:t>
      </w:r>
      <w:r w:rsidRPr="00226B6B">
        <w:rPr>
          <w:rFonts w:ascii="Times New Roman" w:eastAsia="Calibri" w:hAnsi="Times New Roman" w:cs="Times New Roman"/>
          <w:bCs/>
          <w:i/>
          <w:sz w:val="24"/>
          <w:szCs w:val="24"/>
          <w:lang w:eastAsia="ru-RU"/>
        </w:rPr>
        <w:t xml:space="preserve"> объекта контроля по востребованности задолженности</w:t>
      </w:r>
      <w:r w:rsidRPr="00226B6B">
        <w:rPr>
          <w:rFonts w:ascii="Times New Roman" w:eastAsia="Times New Roman" w:hAnsi="Times New Roman" w:cs="Times New Roman"/>
          <w:i/>
          <w:sz w:val="24"/>
          <w:szCs w:val="24"/>
          <w:lang w:eastAsia="ru-RU"/>
        </w:rPr>
        <w:t>.</w:t>
      </w:r>
    </w:p>
    <w:p w:rsidR="002B1A14" w:rsidRPr="00D4719C" w:rsidRDefault="002B1A14" w:rsidP="002B1A14">
      <w:pPr>
        <w:spacing w:after="0" w:line="240" w:lineRule="auto"/>
        <w:ind w:firstLine="709"/>
        <w:jc w:val="both"/>
        <w:rPr>
          <w:rFonts w:ascii="Times New Roman" w:eastAsia="Times New Roman" w:hAnsi="Times New Roman" w:cs="Times New Roman"/>
          <w:sz w:val="24"/>
          <w:szCs w:val="24"/>
          <w:lang w:eastAsia="ru-RU"/>
        </w:rPr>
      </w:pPr>
      <w:r w:rsidRPr="00226B6B">
        <w:rPr>
          <w:rFonts w:ascii="Times New Roman" w:eastAsia="Times New Roman" w:hAnsi="Times New Roman" w:cs="Times New Roman"/>
          <w:sz w:val="24"/>
          <w:szCs w:val="24"/>
          <w:lang w:eastAsia="ru-RU"/>
        </w:rPr>
        <w:t xml:space="preserve"> Администрация города </w:t>
      </w:r>
      <w:proofErr w:type="spellStart"/>
      <w:r w:rsidRPr="00226B6B">
        <w:rPr>
          <w:rFonts w:ascii="Times New Roman" w:eastAsia="Times New Roman" w:hAnsi="Times New Roman" w:cs="Times New Roman"/>
          <w:sz w:val="24"/>
          <w:szCs w:val="24"/>
          <w:lang w:eastAsia="ru-RU"/>
        </w:rPr>
        <w:t>Кодинска</w:t>
      </w:r>
      <w:proofErr w:type="spellEnd"/>
      <w:r w:rsidRPr="00226B6B">
        <w:rPr>
          <w:rFonts w:ascii="Times New Roman" w:eastAsia="Times New Roman" w:hAnsi="Times New Roman" w:cs="Times New Roman"/>
          <w:sz w:val="24"/>
          <w:szCs w:val="24"/>
          <w:lang w:eastAsia="ru-RU"/>
        </w:rPr>
        <w:t xml:space="preserve"> (далее - Администрация города, Администрация</w:t>
      </w:r>
      <w:r w:rsidRPr="00D4719C">
        <w:rPr>
          <w:rFonts w:ascii="Times New Roman" w:eastAsia="Times New Roman" w:hAnsi="Times New Roman" w:cs="Times New Roman"/>
          <w:sz w:val="24"/>
          <w:szCs w:val="24"/>
          <w:lang w:eastAsia="ru-RU"/>
        </w:rPr>
        <w:t>) является исполнительно-распорядительным органом городского самоуправления.</w:t>
      </w:r>
    </w:p>
    <w:p w:rsidR="002B1A14" w:rsidRPr="00D4719C" w:rsidRDefault="002B1A14" w:rsidP="002B1A14">
      <w:pPr>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bCs/>
          <w:sz w:val="24"/>
          <w:szCs w:val="24"/>
          <w:lang w:eastAsia="ru-RU"/>
        </w:rPr>
        <w:t>Компетенция Администрации города закреплена статьей 56 Устава города Кодинск,  п</w:t>
      </w:r>
      <w:r w:rsidRPr="00D4719C">
        <w:rPr>
          <w:rFonts w:ascii="Times New Roman" w:eastAsia="Times New Roman" w:hAnsi="Times New Roman" w:cs="Times New Roman"/>
          <w:sz w:val="24"/>
          <w:szCs w:val="24"/>
          <w:lang w:eastAsia="ru-RU"/>
        </w:rPr>
        <w:t>ринятого Решением Кодинского городского Совета от 17.05.2006 г. № 6(4)-1.</w:t>
      </w:r>
    </w:p>
    <w:p w:rsidR="002B1A14" w:rsidRPr="00D4719C" w:rsidRDefault="002B1A14" w:rsidP="002B1A14">
      <w:pPr>
        <w:spacing w:after="0" w:line="240" w:lineRule="auto"/>
        <w:ind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Администрация города является уполномоченным органом по управлению собственность</w:t>
      </w:r>
      <w:r w:rsidR="00226B6B">
        <w:rPr>
          <w:rFonts w:ascii="Times New Roman" w:eastAsia="Times New Roman" w:hAnsi="Times New Roman" w:cs="Times New Roman"/>
          <w:sz w:val="24"/>
          <w:szCs w:val="24"/>
          <w:lang w:eastAsia="ru-RU"/>
        </w:rPr>
        <w:t>ю города.</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D4719C">
        <w:rPr>
          <w:rFonts w:ascii="Times New Roman" w:eastAsia="Calibri" w:hAnsi="Times New Roman" w:cs="Times New Roman"/>
          <w:bCs/>
          <w:sz w:val="24"/>
          <w:szCs w:val="24"/>
        </w:rPr>
        <w:t xml:space="preserve">В бюджете города Кодинск </w:t>
      </w:r>
      <w:proofErr w:type="gramStart"/>
      <w:r w:rsidRPr="00D4719C">
        <w:rPr>
          <w:rFonts w:ascii="Times New Roman" w:eastAsia="Calibri" w:hAnsi="Times New Roman" w:cs="Times New Roman"/>
          <w:bCs/>
          <w:sz w:val="24"/>
          <w:szCs w:val="24"/>
        </w:rPr>
        <w:t>согласно</w:t>
      </w:r>
      <w:proofErr w:type="gramEnd"/>
      <w:r w:rsidRPr="00D4719C">
        <w:rPr>
          <w:rFonts w:ascii="Times New Roman" w:eastAsia="Calibri" w:hAnsi="Times New Roman" w:cs="Times New Roman"/>
          <w:bCs/>
          <w:sz w:val="24"/>
          <w:szCs w:val="24"/>
        </w:rPr>
        <w:t xml:space="preserve"> годового отчета за 2023 год доходы </w:t>
      </w:r>
      <w:r w:rsidRPr="00D4719C">
        <w:rPr>
          <w:rFonts w:ascii="Times New Roman" w:eastAsia="Times New Roman" w:hAnsi="Times New Roman" w:cs="Times New Roman"/>
          <w:sz w:val="24"/>
          <w:szCs w:val="24"/>
          <w:lang w:eastAsia="ru-RU"/>
        </w:rPr>
        <w:t>от использования имущества, находящегося в государственной и муниципальной собственности</w:t>
      </w:r>
      <w:r w:rsidRPr="00D4719C">
        <w:rPr>
          <w:rFonts w:ascii="Times New Roman" w:eastAsia="Calibri" w:hAnsi="Times New Roman" w:cs="Times New Roman"/>
          <w:bCs/>
          <w:sz w:val="24"/>
          <w:szCs w:val="24"/>
        </w:rPr>
        <w:t xml:space="preserve"> в структуре неналоговых доходов составляют 86,3%.</w:t>
      </w:r>
    </w:p>
    <w:tbl>
      <w:tblPr>
        <w:tblW w:w="9513" w:type="dxa"/>
        <w:tblInd w:w="93" w:type="dxa"/>
        <w:tblLook w:val="04A0" w:firstRow="1" w:lastRow="0" w:firstColumn="1" w:lastColumn="0" w:noHBand="0" w:noVBand="1"/>
      </w:tblPr>
      <w:tblGrid>
        <w:gridCol w:w="6536"/>
        <w:gridCol w:w="2977"/>
      </w:tblGrid>
      <w:tr w:rsidR="002B1A14" w:rsidRPr="002B1A14" w:rsidTr="002B1A14">
        <w:trPr>
          <w:trHeight w:val="545"/>
        </w:trPr>
        <w:tc>
          <w:tcPr>
            <w:tcW w:w="6536" w:type="dxa"/>
            <w:vMerge w:val="restart"/>
            <w:tcBorders>
              <w:top w:val="single" w:sz="8" w:space="0" w:color="auto"/>
              <w:left w:val="single" w:sz="8" w:space="0" w:color="auto"/>
              <w:bottom w:val="single" w:sz="8" w:space="0" w:color="000000"/>
              <w:right w:val="single" w:sz="4" w:space="0" w:color="auto"/>
            </w:tcBorders>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p>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Наименование доходов</w:t>
            </w:r>
          </w:p>
        </w:tc>
        <w:tc>
          <w:tcPr>
            <w:tcW w:w="2977" w:type="dxa"/>
            <w:tcBorders>
              <w:top w:val="single" w:sz="8" w:space="0" w:color="auto"/>
              <w:left w:val="single" w:sz="4" w:space="0" w:color="auto"/>
              <w:bottom w:val="single" w:sz="8" w:space="0" w:color="000000"/>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Фактически исполнены доходы согласно Отчету об исполнении бюджета за 2023 год</w:t>
            </w:r>
          </w:p>
        </w:tc>
      </w:tr>
      <w:tr w:rsidR="002B1A14" w:rsidRPr="002B1A14" w:rsidTr="002B1A14">
        <w:trPr>
          <w:trHeight w:val="149"/>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sz w:val="16"/>
                <w:szCs w:val="16"/>
                <w:lang w:eastAsia="ru-RU"/>
              </w:rPr>
            </w:pPr>
          </w:p>
        </w:tc>
        <w:tc>
          <w:tcPr>
            <w:tcW w:w="2977" w:type="dxa"/>
            <w:tcBorders>
              <w:top w:val="nil"/>
              <w:left w:val="single" w:sz="4" w:space="0" w:color="auto"/>
              <w:bottom w:val="single" w:sz="8" w:space="0" w:color="auto"/>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тыс. руб.</w:t>
            </w:r>
          </w:p>
        </w:tc>
      </w:tr>
      <w:tr w:rsidR="002B1A14" w:rsidRPr="002B1A14" w:rsidTr="002B1A14">
        <w:trPr>
          <w:trHeight w:val="116"/>
        </w:trPr>
        <w:tc>
          <w:tcPr>
            <w:tcW w:w="6536" w:type="dxa"/>
            <w:tcBorders>
              <w:top w:val="nil"/>
              <w:left w:val="single" w:sz="8" w:space="0" w:color="auto"/>
              <w:bottom w:val="nil"/>
              <w:right w:val="single" w:sz="4"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w:t>
            </w:r>
          </w:p>
        </w:tc>
        <w:tc>
          <w:tcPr>
            <w:tcW w:w="2977" w:type="dxa"/>
            <w:tcBorders>
              <w:top w:val="nil"/>
              <w:left w:val="single" w:sz="4" w:space="0" w:color="auto"/>
              <w:bottom w:val="nil"/>
              <w:right w:val="single" w:sz="8" w:space="0" w:color="auto"/>
            </w:tcBorders>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2</w:t>
            </w:r>
          </w:p>
        </w:tc>
      </w:tr>
      <w:tr w:rsidR="002B1A14" w:rsidRPr="002B1A14" w:rsidTr="002B1A14">
        <w:trPr>
          <w:trHeight w:val="431"/>
        </w:trPr>
        <w:tc>
          <w:tcPr>
            <w:tcW w:w="6536"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b/>
                <w:sz w:val="16"/>
                <w:szCs w:val="16"/>
                <w:lang w:eastAsia="ru-RU"/>
              </w:rPr>
            </w:pPr>
            <w:r w:rsidRPr="002B1A14">
              <w:rPr>
                <w:rFonts w:ascii="Times New Roman" w:eastAsia="Times New Roman" w:hAnsi="Times New Roman" w:cs="Times New Roman"/>
                <w:b/>
                <w:sz w:val="16"/>
                <w:szCs w:val="16"/>
                <w:lang w:eastAsia="ru-RU"/>
              </w:rPr>
              <w:t>Доходы от использования имущества, находящегося в государственной и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jc w:val="center"/>
              <w:rPr>
                <w:rFonts w:ascii="Times New Roman" w:eastAsia="Times New Roman" w:hAnsi="Times New Roman" w:cs="Times New Roman"/>
                <w:b/>
                <w:sz w:val="16"/>
                <w:szCs w:val="16"/>
                <w:lang w:eastAsia="ru-RU"/>
              </w:rPr>
            </w:pPr>
            <w:r w:rsidRPr="002B1A14">
              <w:rPr>
                <w:rFonts w:ascii="Times New Roman" w:eastAsia="Times New Roman" w:hAnsi="Times New Roman" w:cs="Times New Roman"/>
                <w:b/>
                <w:sz w:val="16"/>
                <w:szCs w:val="16"/>
                <w:lang w:eastAsia="ru-RU"/>
              </w:rPr>
              <w:t>36702,987</w:t>
            </w:r>
          </w:p>
        </w:tc>
      </w:tr>
      <w:tr w:rsidR="002B1A14" w:rsidRPr="002B1A14" w:rsidTr="00B274D2">
        <w:trPr>
          <w:trHeight w:val="549"/>
        </w:trPr>
        <w:tc>
          <w:tcPr>
            <w:tcW w:w="6536"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160" w:line="256" w:lineRule="auto"/>
              <w:rPr>
                <w:rFonts w:ascii="Times New Roman" w:eastAsia="Times New Roman" w:hAnsi="Times New Roman" w:cs="Times New Roman"/>
                <w:sz w:val="16"/>
                <w:szCs w:val="16"/>
                <w:lang w:eastAsia="ru-RU"/>
              </w:rPr>
            </w:pPr>
            <w:r w:rsidRPr="002B1A14">
              <w:rPr>
                <w:rFonts w:ascii="Times New Roman" w:eastAsia="Calibri"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977"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30201,564</w:t>
            </w:r>
          </w:p>
        </w:tc>
      </w:tr>
      <w:tr w:rsidR="002B1A14" w:rsidRPr="002B1A14" w:rsidTr="00B274D2">
        <w:trPr>
          <w:trHeight w:val="294"/>
        </w:trPr>
        <w:tc>
          <w:tcPr>
            <w:tcW w:w="6536"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160" w:line="256" w:lineRule="auto"/>
              <w:rPr>
                <w:rFonts w:ascii="Times New Roman" w:eastAsia="Times New Roman" w:hAnsi="Times New Roman" w:cs="Times New Roman"/>
                <w:sz w:val="16"/>
                <w:szCs w:val="16"/>
                <w:lang w:eastAsia="ru-RU"/>
              </w:rPr>
            </w:pPr>
            <w:r w:rsidRPr="002B1A14">
              <w:rPr>
                <w:rFonts w:ascii="Times New Roman" w:eastAsia="Calibri" w:hAnsi="Times New Roman" w:cs="Times New Roman"/>
                <w:color w:val="000000"/>
                <w:sz w:val="16"/>
                <w:szCs w:val="16"/>
              </w:rPr>
              <w:t>Доходы от сдачи в аренду имущества, составляющего казну городских поселений  (за исключением земельных участков)</w:t>
            </w:r>
          </w:p>
        </w:tc>
        <w:tc>
          <w:tcPr>
            <w:tcW w:w="2977"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4251,454</w:t>
            </w:r>
          </w:p>
        </w:tc>
      </w:tr>
      <w:tr w:rsidR="002B1A14" w:rsidRPr="002B1A14" w:rsidTr="002B1A14">
        <w:trPr>
          <w:trHeight w:val="294"/>
        </w:trPr>
        <w:tc>
          <w:tcPr>
            <w:tcW w:w="6536"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Прочие поступления от использования имущества, находящегося в собственности городских поселений</w:t>
            </w:r>
          </w:p>
        </w:tc>
        <w:tc>
          <w:tcPr>
            <w:tcW w:w="2977" w:type="dxa"/>
            <w:tcBorders>
              <w:top w:val="nil"/>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1158,914</w:t>
            </w:r>
          </w:p>
        </w:tc>
      </w:tr>
      <w:tr w:rsidR="002B1A14" w:rsidRPr="002B1A14" w:rsidTr="002B1A14">
        <w:trPr>
          <w:trHeight w:val="439"/>
        </w:trPr>
        <w:tc>
          <w:tcPr>
            <w:tcW w:w="6536" w:type="dxa"/>
            <w:tcBorders>
              <w:top w:val="single" w:sz="4" w:space="0" w:color="auto"/>
              <w:left w:val="single" w:sz="4" w:space="0" w:color="auto"/>
              <w:bottom w:val="single" w:sz="4" w:space="0" w:color="auto"/>
              <w:right w:val="single" w:sz="4" w:space="0" w:color="auto"/>
            </w:tcBorders>
            <w:vAlign w:val="center"/>
            <w:hideMark/>
          </w:tcPr>
          <w:p w:rsidR="002B1A14" w:rsidRPr="002B1A14" w:rsidRDefault="002B1A14" w:rsidP="002B1A14">
            <w:pPr>
              <w:spacing w:after="0" w:line="240" w:lineRule="auto"/>
              <w:rPr>
                <w:rFonts w:ascii="Times New Roman" w:eastAsia="Times New Roman" w:hAnsi="Times New Roman" w:cs="Times New Roman"/>
                <w:sz w:val="16"/>
                <w:szCs w:val="16"/>
                <w:lang w:eastAsia="ru-RU"/>
              </w:rPr>
            </w:pPr>
            <w:r w:rsidRPr="002B1A14">
              <w:rPr>
                <w:rFonts w:ascii="Times New Roman" w:eastAsia="Times New Roman" w:hAnsi="Times New Roman" w:cs="Times New Roman"/>
                <w:color w:val="000000"/>
                <w:sz w:val="16"/>
                <w:szCs w:val="16"/>
                <w:lang w:eastAsia="ru-RU"/>
              </w:rPr>
              <w:t>Плата, поступившая в рамках договора за предоставление права на размещение и эксплуатации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B1A14" w:rsidRPr="002B1A14" w:rsidRDefault="002B1A14" w:rsidP="002B1A14">
            <w:pPr>
              <w:spacing w:after="0" w:line="240" w:lineRule="auto"/>
              <w:jc w:val="center"/>
              <w:rPr>
                <w:rFonts w:ascii="Times New Roman" w:eastAsia="Times New Roman" w:hAnsi="Times New Roman" w:cs="Times New Roman"/>
                <w:sz w:val="16"/>
                <w:szCs w:val="16"/>
                <w:lang w:eastAsia="ru-RU"/>
              </w:rPr>
            </w:pPr>
            <w:r w:rsidRPr="002B1A14">
              <w:rPr>
                <w:rFonts w:ascii="Times New Roman" w:eastAsia="Times New Roman" w:hAnsi="Times New Roman" w:cs="Times New Roman"/>
                <w:sz w:val="16"/>
                <w:szCs w:val="16"/>
                <w:lang w:eastAsia="ru-RU"/>
              </w:rPr>
              <w:t>1091,053</w:t>
            </w:r>
          </w:p>
        </w:tc>
      </w:tr>
    </w:tbl>
    <w:p w:rsidR="002B1A14" w:rsidRPr="002B1A14" w:rsidRDefault="002B1A14" w:rsidP="002B1A14">
      <w:pPr>
        <w:spacing w:after="0" w:line="240" w:lineRule="auto"/>
        <w:jc w:val="both"/>
        <w:rPr>
          <w:rFonts w:ascii="Times New Roman" w:eastAsia="Times New Roman" w:hAnsi="Times New Roman" w:cs="Times New Roman"/>
          <w:b/>
          <w:sz w:val="28"/>
          <w:szCs w:val="28"/>
          <w:lang w:eastAsia="ru-RU"/>
        </w:rPr>
      </w:pPr>
    </w:p>
    <w:p w:rsidR="002B1A14" w:rsidRPr="005B43E4" w:rsidRDefault="002B1A14" w:rsidP="002B1A1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B43E4">
        <w:rPr>
          <w:rFonts w:ascii="Times New Roman" w:eastAsia="Calibri" w:hAnsi="Times New Roman" w:cs="Times New Roman"/>
          <w:bCs/>
          <w:sz w:val="24"/>
          <w:szCs w:val="24"/>
        </w:rPr>
        <w:t>В структуре д</w:t>
      </w:r>
      <w:r w:rsidRPr="005B43E4">
        <w:rPr>
          <w:rFonts w:ascii="Times New Roman" w:eastAsia="Times New Roman" w:hAnsi="Times New Roman" w:cs="Times New Roman"/>
          <w:sz w:val="24"/>
          <w:szCs w:val="24"/>
          <w:lang w:eastAsia="ru-RU"/>
        </w:rPr>
        <w:t>оходов от использования имущества, находящегося в муниципальной собственности</w:t>
      </w:r>
      <w:r w:rsidRPr="005B43E4">
        <w:rPr>
          <w:rFonts w:ascii="Times New Roman" w:eastAsia="Calibri" w:hAnsi="Times New Roman" w:cs="Times New Roman"/>
          <w:bCs/>
          <w:sz w:val="24"/>
          <w:szCs w:val="24"/>
        </w:rPr>
        <w:t xml:space="preserve"> наибольший объем платежей формируется за счет </w:t>
      </w:r>
      <w:r w:rsidRPr="005B43E4">
        <w:rPr>
          <w:rFonts w:ascii="Times New Roman" w:eastAsia="Calibri" w:hAnsi="Times New Roman" w:cs="Times New Roman"/>
          <w:sz w:val="24"/>
          <w:szCs w:val="24"/>
        </w:rPr>
        <w:t xml:space="preserve">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 от продажи права на заключение договоров аренды указанных земельных участков – 82,3 %, </w:t>
      </w:r>
      <w:r w:rsidRPr="005B43E4">
        <w:rPr>
          <w:rFonts w:ascii="Times New Roman" w:eastAsia="Calibri" w:hAnsi="Times New Roman" w:cs="Times New Roman"/>
          <w:bCs/>
          <w:sz w:val="24"/>
          <w:szCs w:val="24"/>
        </w:rPr>
        <w:t>д</w:t>
      </w:r>
      <w:r w:rsidRPr="005B43E4">
        <w:rPr>
          <w:rFonts w:ascii="Times New Roman" w:eastAsia="Calibri" w:hAnsi="Times New Roman" w:cs="Times New Roman"/>
          <w:sz w:val="24"/>
          <w:szCs w:val="24"/>
        </w:rPr>
        <w:t>оходов от сдачи в аренду имущества, составляющего казну</w:t>
      </w:r>
      <w:proofErr w:type="gramEnd"/>
      <w:r w:rsidRPr="005B43E4">
        <w:rPr>
          <w:rFonts w:ascii="Times New Roman" w:eastAsia="Calibri" w:hAnsi="Times New Roman" w:cs="Times New Roman"/>
          <w:sz w:val="24"/>
          <w:szCs w:val="24"/>
        </w:rPr>
        <w:t xml:space="preserve"> городских поселений (за исключением земельных участков) – 11,6 %.</w:t>
      </w:r>
    </w:p>
    <w:p w:rsidR="002B1A14" w:rsidRPr="005B43E4" w:rsidRDefault="002B1A14" w:rsidP="002B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43E4">
        <w:rPr>
          <w:rFonts w:ascii="Times New Roman" w:eastAsia="Calibri" w:hAnsi="Times New Roman" w:cs="Times New Roman"/>
          <w:sz w:val="24"/>
          <w:szCs w:val="24"/>
        </w:rPr>
        <w:t xml:space="preserve">Дебиторская задолженность, по данным отраженной в бухгалтерской отчетности  по синтетическому коду счета 205000 (за исключением 2051100), </w:t>
      </w:r>
      <w:r w:rsidRPr="005B43E4">
        <w:rPr>
          <w:rFonts w:ascii="Times New Roman" w:eastAsia="Times New Roman" w:hAnsi="Times New Roman" w:cs="Times New Roman"/>
          <w:sz w:val="24"/>
          <w:szCs w:val="24"/>
          <w:lang w:eastAsia="ru-RU"/>
        </w:rPr>
        <w:t xml:space="preserve">на начало 2023 года составила 1 017 527 512,86  рублей.  </w:t>
      </w:r>
      <w:proofErr w:type="gramEnd"/>
    </w:p>
    <w:p w:rsidR="002B1A14" w:rsidRPr="005B43E4" w:rsidRDefault="002B1A14" w:rsidP="002B1A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43E4">
        <w:rPr>
          <w:rFonts w:ascii="Times New Roman" w:eastAsia="Times New Roman" w:hAnsi="Times New Roman" w:cs="Times New Roman"/>
          <w:sz w:val="24"/>
          <w:szCs w:val="24"/>
          <w:lang w:eastAsia="ru-RU"/>
        </w:rPr>
        <w:t>На конец</w:t>
      </w:r>
      <w:proofErr w:type="gramEnd"/>
      <w:r w:rsidRPr="005B43E4">
        <w:rPr>
          <w:rFonts w:ascii="Times New Roman" w:eastAsia="Times New Roman" w:hAnsi="Times New Roman" w:cs="Times New Roman"/>
          <w:sz w:val="24"/>
          <w:szCs w:val="24"/>
          <w:lang w:eastAsia="ru-RU"/>
        </w:rPr>
        <w:t xml:space="preserve"> 2023 года дебиторская задолженность уменьшилась </w:t>
      </w:r>
      <w:r w:rsidR="00B274D2">
        <w:rPr>
          <w:rFonts w:ascii="Times New Roman" w:eastAsia="Times New Roman" w:hAnsi="Times New Roman" w:cs="Times New Roman"/>
          <w:sz w:val="24"/>
          <w:szCs w:val="24"/>
          <w:lang w:eastAsia="ru-RU"/>
        </w:rPr>
        <w:t>н</w:t>
      </w:r>
      <w:r w:rsidRPr="005B43E4">
        <w:rPr>
          <w:rFonts w:ascii="Times New Roman" w:eastAsia="Times New Roman" w:hAnsi="Times New Roman" w:cs="Times New Roman"/>
          <w:sz w:val="24"/>
          <w:szCs w:val="24"/>
          <w:lang w:eastAsia="ru-RU"/>
        </w:rPr>
        <w:t>а – 973 339 532,13 рублей и составила 44 187 980,73рублей. По состоянию на 01.10.2024 года дебиторская задолженность составила 87 491 787,36 рублей, рост дебиторской задолженности составил + 43 303 806,63 рублей, или на 97,9 %.</w:t>
      </w:r>
    </w:p>
    <w:p w:rsidR="002B1A14" w:rsidRPr="005B43E4" w:rsidRDefault="002B1A14" w:rsidP="002B1A14">
      <w:pPr>
        <w:spacing w:after="0" w:line="293" w:lineRule="atLeast"/>
        <w:ind w:firstLine="567"/>
        <w:jc w:val="both"/>
        <w:rPr>
          <w:rFonts w:ascii="Times New Roman" w:eastAsia="Times New Roman" w:hAnsi="Times New Roman" w:cs="Times New Roman"/>
          <w:sz w:val="24"/>
          <w:szCs w:val="24"/>
          <w:lang w:eastAsia="ru-RU"/>
        </w:rPr>
      </w:pPr>
      <w:r w:rsidRPr="005B43E4">
        <w:rPr>
          <w:rFonts w:ascii="Times New Roman" w:eastAsia="Times New Roman" w:hAnsi="Times New Roman" w:cs="Times New Roman"/>
          <w:sz w:val="24"/>
          <w:szCs w:val="24"/>
          <w:lang w:eastAsia="ru-RU"/>
        </w:rPr>
        <w:t xml:space="preserve">Из общей суммы дебиторской задолженности по доходам на начало 2024 года просроченная дебиторская задолженность составляла 2 055 870,67 рублей или 4,65%. По состоянию на 01.10.2024 года просроченная дебиторская задолженность увеличилась на 907 638,76 рублей или на 44,6% и составила 2 963 509,43 рублей. </w:t>
      </w:r>
    </w:p>
    <w:p w:rsidR="002B1A14" w:rsidRPr="00D4719C" w:rsidRDefault="002B1A14" w:rsidP="002B1A14">
      <w:pPr>
        <w:spacing w:after="0" w:line="240" w:lineRule="auto"/>
        <w:ind w:firstLine="708"/>
        <w:jc w:val="both"/>
        <w:rPr>
          <w:rFonts w:ascii="Times New Roman" w:eastAsia="Times New Roman" w:hAnsi="Times New Roman" w:cs="Times New Roman"/>
          <w:sz w:val="24"/>
          <w:szCs w:val="24"/>
          <w:lang w:eastAsia="ru-RU"/>
        </w:rPr>
      </w:pPr>
      <w:proofErr w:type="gramStart"/>
      <w:r w:rsidRPr="00D4719C">
        <w:rPr>
          <w:rFonts w:ascii="Times New Roman" w:eastAsia="Times New Roman" w:hAnsi="Times New Roman" w:cs="Times New Roman"/>
          <w:sz w:val="24"/>
          <w:szCs w:val="24"/>
          <w:lang w:eastAsia="ru-RU"/>
        </w:rPr>
        <w:t>Из общей суммы просроченной дебиторской задолженности наибольший объем составляет задолженность ООО «А</w:t>
      </w:r>
      <w:r w:rsidR="005B43E4" w:rsidRPr="00D4719C">
        <w:rPr>
          <w:rFonts w:ascii="Times New Roman" w:eastAsia="Times New Roman" w:hAnsi="Times New Roman" w:cs="Times New Roman"/>
          <w:sz w:val="24"/>
          <w:szCs w:val="24"/>
          <w:lang w:eastAsia="ru-RU"/>
        </w:rPr>
        <w:t>*</w:t>
      </w:r>
      <w:r w:rsidRPr="00D4719C">
        <w:rPr>
          <w:rFonts w:ascii="Times New Roman" w:eastAsia="Times New Roman" w:hAnsi="Times New Roman" w:cs="Times New Roman"/>
          <w:sz w:val="24"/>
          <w:szCs w:val="24"/>
          <w:lang w:eastAsia="ru-RU"/>
        </w:rPr>
        <w:t xml:space="preserve">» 1 121 634,66 рублей, или 33,9% по плате за аренду </w:t>
      </w:r>
      <w:proofErr w:type="spellStart"/>
      <w:r w:rsidRPr="00D4719C">
        <w:rPr>
          <w:rFonts w:ascii="Times New Roman" w:eastAsia="Times New Roman" w:hAnsi="Times New Roman" w:cs="Times New Roman"/>
          <w:sz w:val="24"/>
          <w:szCs w:val="24"/>
          <w:lang w:eastAsia="ru-RU"/>
        </w:rPr>
        <w:t>землиза</w:t>
      </w:r>
      <w:proofErr w:type="spellEnd"/>
      <w:r w:rsidRPr="00D4719C">
        <w:rPr>
          <w:rFonts w:ascii="Times New Roman" w:eastAsia="Times New Roman" w:hAnsi="Times New Roman" w:cs="Times New Roman"/>
          <w:sz w:val="24"/>
          <w:szCs w:val="24"/>
          <w:lang w:eastAsia="ru-RU"/>
        </w:rPr>
        <w:t xml:space="preserve">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r w:rsidRPr="00D4719C">
        <w:rPr>
          <w:rFonts w:ascii="Times New Roman" w:eastAsia="Times New Roman" w:hAnsi="Times New Roman" w:cs="Times New Roman"/>
          <w:sz w:val="24"/>
          <w:szCs w:val="24"/>
          <w:lang w:eastAsia="ru-RU"/>
        </w:rPr>
        <w:t xml:space="preserve"> ИП </w:t>
      </w:r>
      <w:proofErr w:type="gramStart"/>
      <w:r w:rsidRPr="00D4719C">
        <w:rPr>
          <w:rFonts w:ascii="Times New Roman" w:eastAsia="Times New Roman" w:hAnsi="Times New Roman" w:cs="Times New Roman"/>
          <w:sz w:val="24"/>
          <w:szCs w:val="24"/>
          <w:lang w:eastAsia="ru-RU"/>
        </w:rPr>
        <w:t>К</w:t>
      </w:r>
      <w:proofErr w:type="gramEnd"/>
      <w:r w:rsidR="005B43E4" w:rsidRPr="00D4719C">
        <w:rPr>
          <w:rFonts w:ascii="Times New Roman" w:eastAsia="Times New Roman" w:hAnsi="Times New Roman" w:cs="Times New Roman"/>
          <w:sz w:val="24"/>
          <w:szCs w:val="24"/>
          <w:lang w:eastAsia="ru-RU"/>
        </w:rPr>
        <w:t>*</w:t>
      </w:r>
      <w:r w:rsidRPr="00D4719C">
        <w:rPr>
          <w:rFonts w:ascii="Times New Roman" w:eastAsia="Times New Roman" w:hAnsi="Times New Roman" w:cs="Times New Roman"/>
          <w:sz w:val="24"/>
          <w:szCs w:val="24"/>
          <w:lang w:eastAsia="ru-RU"/>
        </w:rPr>
        <w:t>Э</w:t>
      </w:r>
      <w:r w:rsidR="005B43E4" w:rsidRPr="00D4719C">
        <w:rPr>
          <w:rFonts w:ascii="Times New Roman" w:eastAsia="Times New Roman" w:hAnsi="Times New Roman" w:cs="Times New Roman"/>
          <w:sz w:val="24"/>
          <w:szCs w:val="24"/>
          <w:lang w:eastAsia="ru-RU"/>
        </w:rPr>
        <w:t>*</w:t>
      </w:r>
      <w:r w:rsidRPr="00D4719C">
        <w:rPr>
          <w:rFonts w:ascii="Times New Roman" w:eastAsia="Times New Roman" w:hAnsi="Times New Roman" w:cs="Times New Roman"/>
          <w:sz w:val="24"/>
          <w:szCs w:val="24"/>
          <w:lang w:eastAsia="ru-RU"/>
        </w:rPr>
        <w:t>Г</w:t>
      </w:r>
      <w:r w:rsidR="005B43E4" w:rsidRPr="00D4719C">
        <w:rPr>
          <w:rFonts w:ascii="Times New Roman" w:eastAsia="Times New Roman" w:hAnsi="Times New Roman" w:cs="Times New Roman"/>
          <w:sz w:val="24"/>
          <w:szCs w:val="24"/>
          <w:lang w:eastAsia="ru-RU"/>
        </w:rPr>
        <w:t>*</w:t>
      </w:r>
      <w:r w:rsidRPr="00D4719C">
        <w:rPr>
          <w:rFonts w:ascii="Times New Roman" w:eastAsia="Times New Roman" w:hAnsi="Times New Roman" w:cs="Times New Roman"/>
          <w:sz w:val="24"/>
          <w:szCs w:val="24"/>
          <w:lang w:eastAsia="ru-RU"/>
        </w:rPr>
        <w:t xml:space="preserve"> просроченная задолженность составляет 1 144 484,81 рублей, или 34,5 % по плате за аренду земли</w:t>
      </w:r>
      <w:r w:rsidR="005B43E4"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rPr>
        <w:t xml:space="preserve">за </w:t>
      </w:r>
      <w:r w:rsidRPr="00D4719C">
        <w:rPr>
          <w:rFonts w:ascii="Times New Roman" w:eastAsia="Times New Roman" w:hAnsi="Times New Roman" w:cs="Times New Roman"/>
          <w:sz w:val="24"/>
          <w:szCs w:val="24"/>
          <w:lang w:eastAsia="ru-RU"/>
        </w:rPr>
        <w:lastRenderedPageBreak/>
        <w:t>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2B1A14" w:rsidRPr="00D4719C" w:rsidRDefault="002B1A14" w:rsidP="002B1A14">
      <w:pPr>
        <w:tabs>
          <w:tab w:val="left" w:pos="1813"/>
        </w:tabs>
        <w:spacing w:after="0" w:line="240" w:lineRule="auto"/>
        <w:ind w:firstLine="709"/>
        <w:jc w:val="both"/>
        <w:rPr>
          <w:rFonts w:ascii="Times New Roman" w:eastAsia="Calibri" w:hAnsi="Times New Roman" w:cs="Times New Roman"/>
          <w:sz w:val="24"/>
          <w:szCs w:val="24"/>
        </w:rPr>
      </w:pPr>
      <w:proofErr w:type="gramStart"/>
      <w:r w:rsidRPr="00D4719C">
        <w:rPr>
          <w:rFonts w:ascii="Times New Roman" w:eastAsia="Calibri" w:hAnsi="Times New Roman" w:cs="Times New Roman"/>
          <w:sz w:val="24"/>
          <w:szCs w:val="24"/>
        </w:rPr>
        <w:t xml:space="preserve">В проверяемом периоде по взысканию задолженности по арендной плате за </w:t>
      </w:r>
      <w:r w:rsidRPr="00D4719C">
        <w:rPr>
          <w:rFonts w:ascii="Times New Roman" w:eastAsia="Times New Roman" w:hAnsi="Times New Roman" w:cs="Times New Roman"/>
          <w:sz w:val="24"/>
          <w:szCs w:val="24"/>
          <w:lang w:eastAsia="ru-RU"/>
        </w:rPr>
        <w:t>аренду земли</w:t>
      </w:r>
      <w:r w:rsidR="005B43E4"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rPr>
        <w:t>за земельные участки</w:t>
      </w:r>
      <w:proofErr w:type="gramEnd"/>
      <w:r w:rsidRPr="00D4719C">
        <w:rPr>
          <w:rFonts w:ascii="Times New Roman" w:eastAsia="Times New Roman" w:hAnsi="Times New Roman" w:cs="Times New Roman"/>
          <w:sz w:val="24"/>
          <w:szCs w:val="24"/>
          <w:lang w:eastAsia="ru-RU"/>
        </w:rPr>
        <w:t>,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D4719C">
        <w:rPr>
          <w:rFonts w:ascii="Times New Roman" w:eastAsia="Calibri" w:hAnsi="Times New Roman" w:cs="Times New Roman"/>
          <w:sz w:val="24"/>
          <w:szCs w:val="24"/>
        </w:rPr>
        <w:t xml:space="preserve"> проведены следующие мероприятия: </w:t>
      </w:r>
    </w:p>
    <w:p w:rsidR="002B1A14" w:rsidRPr="00D4719C" w:rsidRDefault="002B1A14" w:rsidP="002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rPr>
        <w:t xml:space="preserve">- </w:t>
      </w:r>
      <w:r w:rsidRPr="00D4719C">
        <w:rPr>
          <w:rFonts w:ascii="Times New Roman" w:eastAsia="Times New Roman" w:hAnsi="Times New Roman" w:cs="Times New Roman"/>
          <w:sz w:val="24"/>
          <w:szCs w:val="24"/>
          <w:lang w:eastAsia="ru-RU" w:bidi="hi-IN"/>
        </w:rPr>
        <w:t>количество предъявленных исковых заявлений в арбитражный суд – 3, на общую сумму 1 255 390,81 рублей, из них ни один иск не удовлетворён.</w:t>
      </w:r>
    </w:p>
    <w:p w:rsidR="002B1A14" w:rsidRPr="00D4719C" w:rsidRDefault="002B1A14" w:rsidP="002B1A14">
      <w:pPr>
        <w:spacing w:after="0" w:line="293" w:lineRule="atLeast"/>
        <w:ind w:firstLine="567"/>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 xml:space="preserve">Принимая во внимание вышеизложенные факты, можно сделать вывод, что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 xml:space="preserve">-исковой работой в 2024 году охвачено 34,5% (7 622 615,99 руб.) договоров при этом удовлетворенные претензии отсутствуют. </w:t>
      </w:r>
    </w:p>
    <w:p w:rsidR="002B1A14" w:rsidRPr="00D4719C" w:rsidRDefault="002B1A14" w:rsidP="002B1A14">
      <w:pPr>
        <w:spacing w:after="0" w:line="293" w:lineRule="atLeast"/>
        <w:ind w:firstLine="567"/>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bidi="hi-IN"/>
        </w:rPr>
        <w:t>Т</w:t>
      </w:r>
      <w:r w:rsidRPr="00D4719C">
        <w:rPr>
          <w:rFonts w:ascii="Times New Roman" w:eastAsia="Times New Roman" w:hAnsi="Times New Roman" w:cs="Times New Roman"/>
          <w:sz w:val="24"/>
          <w:szCs w:val="24"/>
          <w:lang w:eastAsia="ru-RU"/>
        </w:rPr>
        <w:t xml:space="preserve">енденция </w:t>
      </w:r>
      <w:proofErr w:type="gramStart"/>
      <w:r w:rsidRPr="00D4719C">
        <w:rPr>
          <w:rFonts w:ascii="Times New Roman" w:eastAsia="Times New Roman" w:hAnsi="Times New Roman" w:cs="Times New Roman"/>
          <w:sz w:val="24"/>
          <w:szCs w:val="24"/>
          <w:lang w:eastAsia="ru-RU"/>
        </w:rPr>
        <w:t>повышения уровня дебиторской задолженности Администрации города</w:t>
      </w:r>
      <w:proofErr w:type="gramEnd"/>
      <w:r w:rsidRPr="00D4719C">
        <w:rPr>
          <w:rFonts w:ascii="Times New Roman" w:eastAsia="Times New Roman" w:hAnsi="Times New Roman" w:cs="Times New Roman"/>
          <w:sz w:val="24"/>
          <w:szCs w:val="24"/>
          <w:lang w:eastAsia="ru-RU"/>
        </w:rPr>
        <w:t xml:space="preserve"> Кодинск, (в том числе просроченной) свидетельствует о недостаточности мер по её взысканию.</w:t>
      </w:r>
    </w:p>
    <w:p w:rsidR="002B1A14" w:rsidRPr="00D4719C" w:rsidRDefault="002B1A14" w:rsidP="002B1A14">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 xml:space="preserve">Низкий уровень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 xml:space="preserve">-исковой деятельности влечет переход задолженности в разряд безнадежной ввиду пропуска сроков исковой давности, ликвидации должников или переход их в стадии банкротства. </w:t>
      </w:r>
    </w:p>
    <w:p w:rsidR="005144B4" w:rsidRPr="00D4719C" w:rsidRDefault="005144B4" w:rsidP="00970AA6">
      <w:pPr>
        <w:spacing w:after="0" w:line="240" w:lineRule="auto"/>
        <w:ind w:firstLine="540"/>
        <w:jc w:val="both"/>
        <w:rPr>
          <w:rFonts w:ascii="Times New Roman" w:eastAsia="Calibri" w:hAnsi="Times New Roman" w:cs="Times New Roman"/>
          <w:b/>
          <w:sz w:val="24"/>
          <w:szCs w:val="24"/>
        </w:rPr>
      </w:pPr>
      <w:r w:rsidRPr="00D4719C">
        <w:rPr>
          <w:rFonts w:ascii="Times New Roman" w:eastAsia="Calibri" w:hAnsi="Times New Roman" w:cs="Times New Roman"/>
          <w:sz w:val="24"/>
          <w:szCs w:val="24"/>
        </w:rPr>
        <w:t xml:space="preserve">3. </w:t>
      </w:r>
      <w:r w:rsidRPr="00D4719C">
        <w:rPr>
          <w:rFonts w:ascii="Times New Roman" w:eastAsia="Calibri" w:hAnsi="Times New Roman" w:cs="Times New Roman"/>
          <w:b/>
          <w:sz w:val="24"/>
          <w:szCs w:val="24"/>
        </w:rPr>
        <w:t>Основные нарушения и недостатки, выявленные в ходе мероприятия:</w:t>
      </w:r>
    </w:p>
    <w:p w:rsidR="00300058" w:rsidRPr="00D4719C" w:rsidRDefault="00300058" w:rsidP="00D4719C">
      <w:pPr>
        <w:pStyle w:val="a5"/>
        <w:numPr>
          <w:ilvl w:val="0"/>
          <w:numId w:val="48"/>
        </w:numPr>
        <w:tabs>
          <w:tab w:val="left" w:pos="1813"/>
        </w:tabs>
        <w:spacing w:after="0" w:line="240" w:lineRule="auto"/>
        <w:ind w:left="0" w:firstLine="709"/>
        <w:jc w:val="both"/>
        <w:rPr>
          <w:rFonts w:ascii="Times New Roman" w:eastAsia="Calibri" w:hAnsi="Times New Roman" w:cs="Times New Roman"/>
          <w:sz w:val="24"/>
          <w:szCs w:val="24"/>
        </w:rPr>
      </w:pPr>
      <w:proofErr w:type="gramStart"/>
      <w:r w:rsidRPr="00D4719C">
        <w:rPr>
          <w:rFonts w:ascii="Times New Roman" w:eastAsia="Times New Roman" w:hAnsi="Times New Roman" w:cs="Times New Roman"/>
          <w:sz w:val="24"/>
          <w:szCs w:val="24"/>
        </w:rPr>
        <w:t>В ходе проверки полноты поступления администрируемых неналоговых доходов по коду бюджетной классификации «</w:t>
      </w:r>
      <w:r w:rsidRPr="00D4719C">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r w:rsidRPr="00D4719C">
        <w:rPr>
          <w:rFonts w:ascii="Times New Roman" w:eastAsia="Times New Roman" w:hAnsi="Times New Roman" w:cs="Times New Roman"/>
          <w:sz w:val="24"/>
          <w:szCs w:val="24"/>
        </w:rPr>
        <w:t>» установлено</w:t>
      </w:r>
      <w:r w:rsidRPr="00D4719C">
        <w:rPr>
          <w:rFonts w:ascii="Times New Roman" w:eastAsia="Times New Roman" w:hAnsi="Times New Roman" w:cs="Times New Roman"/>
          <w:sz w:val="24"/>
          <w:szCs w:val="24"/>
          <w:shd w:val="clear" w:color="auto" w:fill="FFFFFF"/>
        </w:rPr>
        <w:t xml:space="preserve"> наличие дебиторской задолженности по состоянию н</w:t>
      </w:r>
      <w:r w:rsidRPr="00D4719C">
        <w:rPr>
          <w:rFonts w:ascii="Times New Roman" w:eastAsia="Calibri" w:hAnsi="Times New Roman" w:cs="Times New Roman"/>
          <w:sz w:val="24"/>
          <w:szCs w:val="24"/>
        </w:rPr>
        <w:t>а 01.11.2024 года в размере 34 836 474,83 рублей, администрируемым управлением имущественных отношений, по сравнению с показателем 2023 года (с 25 00,737 тыс. рублей до 34 836,474 тыс. рублей) возрос на 39,2</w:t>
      </w:r>
      <w:proofErr w:type="gramEnd"/>
      <w:r w:rsidRPr="00D4719C">
        <w:rPr>
          <w:rFonts w:ascii="Times New Roman" w:eastAsia="Calibri" w:hAnsi="Times New Roman" w:cs="Times New Roman"/>
          <w:sz w:val="24"/>
          <w:szCs w:val="24"/>
        </w:rPr>
        <w:t xml:space="preserve"> %, </w:t>
      </w:r>
      <w:r w:rsidRPr="00D4719C">
        <w:rPr>
          <w:rFonts w:ascii="Times New Roman" w:eastAsia="Times New Roman" w:hAnsi="Times New Roman" w:cs="Times New Roman"/>
          <w:sz w:val="24"/>
          <w:szCs w:val="24"/>
        </w:rPr>
        <w:t>поступления администрируемых неналоговых доходов по коду бюджетной классификации «</w:t>
      </w:r>
      <w:r w:rsidRPr="00D4719C">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r w:rsidRPr="00D4719C">
        <w:rPr>
          <w:rFonts w:ascii="Times New Roman" w:eastAsia="Times New Roman" w:hAnsi="Times New Roman" w:cs="Times New Roman"/>
          <w:sz w:val="24"/>
          <w:szCs w:val="24"/>
        </w:rPr>
        <w:t>» установлено</w:t>
      </w:r>
      <w:r w:rsidRPr="00D4719C">
        <w:rPr>
          <w:rFonts w:ascii="Times New Roman" w:eastAsia="Times New Roman" w:hAnsi="Times New Roman" w:cs="Times New Roman"/>
          <w:sz w:val="24"/>
          <w:szCs w:val="24"/>
          <w:shd w:val="clear" w:color="auto" w:fill="FFFFFF"/>
        </w:rPr>
        <w:t xml:space="preserve"> наличие дебиторской задолженности по состоянию н</w:t>
      </w:r>
      <w:r w:rsidRPr="00D4719C">
        <w:rPr>
          <w:rFonts w:ascii="Times New Roman" w:eastAsia="Calibri" w:hAnsi="Times New Roman" w:cs="Times New Roman"/>
          <w:sz w:val="24"/>
          <w:szCs w:val="24"/>
        </w:rPr>
        <w:t xml:space="preserve">а 01.10.2024 года в размере 30 864 513,15 рублей, администрируемым Администрацией города Кодинск. </w:t>
      </w:r>
    </w:p>
    <w:p w:rsidR="00300058" w:rsidRPr="00D4719C" w:rsidRDefault="00300058" w:rsidP="00D4719C">
      <w:pPr>
        <w:widowControl w:val="0"/>
        <w:suppressAutoHyphens/>
        <w:spacing w:after="0" w:line="240" w:lineRule="auto"/>
        <w:ind w:firstLine="709"/>
        <w:jc w:val="both"/>
        <w:rPr>
          <w:rFonts w:ascii="Times New Roman" w:eastAsia="Times New Roman" w:hAnsi="Times New Roman" w:cs="Times New Roman"/>
          <w:sz w:val="24"/>
          <w:szCs w:val="24"/>
        </w:rPr>
      </w:pPr>
      <w:r w:rsidRPr="00D4719C">
        <w:rPr>
          <w:rFonts w:ascii="Times New Roman" w:eastAsia="Times New Roman" w:hAnsi="Times New Roman" w:cs="Times New Roman"/>
          <w:sz w:val="24"/>
          <w:szCs w:val="24"/>
          <w:shd w:val="clear" w:color="auto" w:fill="FFFFFF"/>
        </w:rPr>
        <w:t xml:space="preserve">Этот факт </w:t>
      </w:r>
      <w:r w:rsidRPr="00D4719C">
        <w:rPr>
          <w:rFonts w:ascii="Times New Roman" w:eastAsia="Times New Roman" w:hAnsi="Times New Roman" w:cs="Times New Roman"/>
          <w:sz w:val="24"/>
          <w:szCs w:val="24"/>
        </w:rPr>
        <w:t xml:space="preserve">свидетельствует </w:t>
      </w:r>
      <w:proofErr w:type="gramStart"/>
      <w:r w:rsidRPr="00D4719C">
        <w:rPr>
          <w:rFonts w:ascii="Times New Roman" w:eastAsia="Times New Roman" w:hAnsi="Times New Roman" w:cs="Times New Roman"/>
          <w:sz w:val="24"/>
          <w:szCs w:val="24"/>
        </w:rPr>
        <w:t>о недостаточном контроле со стороны администратора доходов за полнотой поступления платежей от данного доходного источника в нарушение</w:t>
      </w:r>
      <w:proofErr w:type="gramEnd"/>
      <w:r w:rsidRPr="00D4719C">
        <w:rPr>
          <w:rFonts w:ascii="Times New Roman" w:eastAsia="Times New Roman" w:hAnsi="Times New Roman" w:cs="Times New Roman"/>
          <w:sz w:val="24"/>
          <w:szCs w:val="24"/>
        </w:rPr>
        <w:t xml:space="preserve"> пункта ст. 160.1 Бюджетного кодекса РФ.</w:t>
      </w:r>
    </w:p>
    <w:p w:rsidR="00300058" w:rsidRPr="00D4719C" w:rsidRDefault="00300058" w:rsidP="00D4719C">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Главным администратором доходов бюджета не обеспечено системное уменьшение объемов задолженности за счет мер, направленных на предупреждение ее возникновения и своевременное взыскания.</w:t>
      </w:r>
    </w:p>
    <w:p w:rsidR="00300058" w:rsidRPr="00D4719C" w:rsidRDefault="00300058" w:rsidP="00D4719C">
      <w:pPr>
        <w:pStyle w:val="a5"/>
        <w:numPr>
          <w:ilvl w:val="0"/>
          <w:numId w:val="4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xml:space="preserve">Администраторами доходов не исполнены требования Министерства финансов Российской Федерации (письмо от 16.02.2023 № 2301-06/12981 о проведении администраторами доходов инвентаризации по дебиторской задолженности в структуре показателей аналитического учета).  </w:t>
      </w:r>
    </w:p>
    <w:p w:rsidR="00300058" w:rsidRPr="00D4719C" w:rsidRDefault="00300058" w:rsidP="00D4719C">
      <w:pPr>
        <w:pStyle w:val="a5"/>
        <w:numPr>
          <w:ilvl w:val="0"/>
          <w:numId w:val="4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Не в полной мере и несвоевременно принимались меры </w:t>
      </w:r>
      <w:proofErr w:type="spellStart"/>
      <w:r w:rsidRPr="00D4719C">
        <w:rPr>
          <w:rFonts w:ascii="Times New Roman" w:eastAsia="Calibri" w:hAnsi="Times New Roman" w:cs="Times New Roman"/>
          <w:sz w:val="24"/>
          <w:szCs w:val="24"/>
        </w:rPr>
        <w:t>претензионно</w:t>
      </w:r>
      <w:proofErr w:type="spellEnd"/>
      <w:r w:rsidRPr="00D4719C">
        <w:rPr>
          <w:rFonts w:ascii="Times New Roman" w:eastAsia="Calibri" w:hAnsi="Times New Roman" w:cs="Times New Roman"/>
          <w:sz w:val="24"/>
          <w:szCs w:val="24"/>
        </w:rPr>
        <w:softHyphen/>
      </w:r>
      <w:r w:rsidR="009F6CAC" w:rsidRPr="00D4719C">
        <w:rPr>
          <w:rFonts w:ascii="Times New Roman" w:eastAsia="Calibri" w:hAnsi="Times New Roman" w:cs="Times New Roman"/>
          <w:sz w:val="24"/>
          <w:szCs w:val="24"/>
        </w:rPr>
        <w:t xml:space="preserve"> </w:t>
      </w:r>
      <w:r w:rsidRPr="00D4719C">
        <w:rPr>
          <w:rFonts w:ascii="Times New Roman" w:eastAsia="Calibri" w:hAnsi="Times New Roman" w:cs="Times New Roman"/>
          <w:sz w:val="24"/>
          <w:szCs w:val="24"/>
        </w:rPr>
        <w:t>искового характера по взысканию задолженности, включению ее в реестр требований кредиторов в рамках процедуры банкротства, а также направлению исполнительных документов для принудительного исполнения. Работа по взаимодействию с Главным управлением Федеральной службы судебных приставов по Красноярскому краю проводилась неэффективно и в отсутствие обратной связи.</w:t>
      </w:r>
    </w:p>
    <w:p w:rsidR="00300058" w:rsidRPr="00D4719C" w:rsidRDefault="00300058" w:rsidP="00D4719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 xml:space="preserve">Недостаточный уровень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 xml:space="preserve">-исковой деятельности влечет переход задолженности в разряд безнадежной ввиду пропуска сроков исковой давности, ликвидации должников или переход их в стадии банкротства. </w:t>
      </w:r>
    </w:p>
    <w:p w:rsidR="00300058" w:rsidRPr="00D4719C" w:rsidRDefault="00300058" w:rsidP="00D471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 xml:space="preserve">Без повышения </w:t>
      </w:r>
      <w:proofErr w:type="gramStart"/>
      <w:r w:rsidRPr="00D4719C">
        <w:rPr>
          <w:rFonts w:ascii="Times New Roman" w:eastAsia="Calibri" w:hAnsi="Times New Roman" w:cs="Times New Roman"/>
          <w:sz w:val="24"/>
          <w:szCs w:val="24"/>
        </w:rPr>
        <w:t>качества работы главного администратора доходов бюджета</w:t>
      </w:r>
      <w:proofErr w:type="gramEnd"/>
      <w:r w:rsidRPr="00D4719C">
        <w:rPr>
          <w:rFonts w:ascii="Times New Roman" w:eastAsia="Calibri" w:hAnsi="Times New Roman" w:cs="Times New Roman"/>
          <w:sz w:val="24"/>
          <w:szCs w:val="24"/>
        </w:rPr>
        <w:t xml:space="preserve"> с дебиторской задолженностью существуют риски дальнейшего роста ее объемов.</w:t>
      </w:r>
    </w:p>
    <w:p w:rsidR="005144B4" w:rsidRPr="00D4719C" w:rsidRDefault="005144B4" w:rsidP="005144B4">
      <w:pPr>
        <w:pStyle w:val="a5"/>
        <w:spacing w:after="0" w:line="240" w:lineRule="auto"/>
        <w:ind w:left="0" w:firstLine="709"/>
        <w:jc w:val="both"/>
        <w:rPr>
          <w:rFonts w:ascii="Times New Roman" w:eastAsia="Times New Roman" w:hAnsi="Times New Roman" w:cs="Times New Roman"/>
          <w:b/>
          <w:sz w:val="24"/>
          <w:szCs w:val="24"/>
          <w:lang w:eastAsia="ru-RU"/>
        </w:rPr>
      </w:pPr>
      <w:r w:rsidRPr="00D4719C">
        <w:rPr>
          <w:rFonts w:ascii="Times New Roman" w:eastAsia="Times New Roman" w:hAnsi="Times New Roman" w:cs="Times New Roman"/>
          <w:b/>
          <w:sz w:val="24"/>
          <w:szCs w:val="24"/>
          <w:lang w:eastAsia="ru-RU"/>
        </w:rPr>
        <w:t>4. Требования по устранению выявленных нарушений и недостатков, а также меры по пресечению, устранению и предупреждению нарушений:</w:t>
      </w:r>
    </w:p>
    <w:p w:rsidR="00575AD8" w:rsidRPr="00D4719C" w:rsidRDefault="0000546C" w:rsidP="00575AD8">
      <w:pPr>
        <w:spacing w:after="0" w:line="240" w:lineRule="auto"/>
        <w:ind w:firstLine="567"/>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lastRenderedPageBreak/>
        <w:t xml:space="preserve">по результатам проверки объекту контроля даны рекомендации, </w:t>
      </w:r>
      <w:r w:rsidR="00575AD8" w:rsidRPr="00D4719C">
        <w:rPr>
          <w:rFonts w:ascii="Times New Roman" w:eastAsia="Times New Roman" w:hAnsi="Times New Roman" w:cs="Times New Roman"/>
          <w:sz w:val="24"/>
          <w:szCs w:val="24"/>
          <w:lang w:eastAsia="ru-RU"/>
        </w:rPr>
        <w:t xml:space="preserve">на устранение выявленных недостатков и замечаний по вопросам контрольного мероприятия контрольно-счетный орган Кежемского района направил  представление от </w:t>
      </w:r>
      <w:r w:rsidR="00E8757B" w:rsidRPr="00D4719C">
        <w:rPr>
          <w:rFonts w:ascii="Times New Roman" w:eastAsia="Times New Roman" w:hAnsi="Times New Roman" w:cs="Times New Roman"/>
          <w:sz w:val="24"/>
          <w:szCs w:val="24"/>
          <w:lang w:eastAsia="ru-RU"/>
        </w:rPr>
        <w:t>13</w:t>
      </w:r>
      <w:r w:rsidR="00575AD8" w:rsidRPr="00D4719C">
        <w:rPr>
          <w:rFonts w:ascii="Times New Roman" w:eastAsia="Times New Roman" w:hAnsi="Times New Roman" w:cs="Times New Roman"/>
          <w:sz w:val="24"/>
          <w:szCs w:val="24"/>
          <w:lang w:eastAsia="ru-RU"/>
        </w:rPr>
        <w:t>.</w:t>
      </w:r>
      <w:r w:rsidR="00E8757B" w:rsidRPr="00D4719C">
        <w:rPr>
          <w:rFonts w:ascii="Times New Roman" w:eastAsia="Times New Roman" w:hAnsi="Times New Roman" w:cs="Times New Roman"/>
          <w:sz w:val="24"/>
          <w:szCs w:val="24"/>
          <w:lang w:eastAsia="ru-RU"/>
        </w:rPr>
        <w:t>01</w:t>
      </w:r>
      <w:r w:rsidR="00575AD8" w:rsidRPr="00D4719C">
        <w:rPr>
          <w:rFonts w:ascii="Times New Roman" w:eastAsia="Times New Roman" w:hAnsi="Times New Roman" w:cs="Times New Roman"/>
          <w:sz w:val="24"/>
          <w:szCs w:val="24"/>
          <w:lang w:eastAsia="ru-RU"/>
        </w:rPr>
        <w:t>.202</w:t>
      </w:r>
      <w:r w:rsidR="00E8757B" w:rsidRPr="00D4719C">
        <w:rPr>
          <w:rFonts w:ascii="Times New Roman" w:eastAsia="Times New Roman" w:hAnsi="Times New Roman" w:cs="Times New Roman"/>
          <w:sz w:val="24"/>
          <w:szCs w:val="24"/>
          <w:lang w:eastAsia="ru-RU"/>
        </w:rPr>
        <w:t>5</w:t>
      </w:r>
      <w:r w:rsidR="00575AD8" w:rsidRPr="00D4719C">
        <w:rPr>
          <w:rFonts w:ascii="Times New Roman" w:eastAsia="Times New Roman" w:hAnsi="Times New Roman" w:cs="Times New Roman"/>
          <w:sz w:val="24"/>
          <w:szCs w:val="24"/>
          <w:lang w:eastAsia="ru-RU"/>
        </w:rPr>
        <w:t xml:space="preserve"> № 01-02-0</w:t>
      </w:r>
      <w:r w:rsidR="00E8757B" w:rsidRPr="00D4719C">
        <w:rPr>
          <w:rFonts w:ascii="Times New Roman" w:eastAsia="Times New Roman" w:hAnsi="Times New Roman" w:cs="Times New Roman"/>
          <w:sz w:val="24"/>
          <w:szCs w:val="24"/>
          <w:lang w:eastAsia="ru-RU"/>
        </w:rPr>
        <w:t>4</w:t>
      </w:r>
      <w:r w:rsidR="00575AD8" w:rsidRPr="00D4719C">
        <w:rPr>
          <w:rFonts w:ascii="Times New Roman" w:eastAsia="Times New Roman" w:hAnsi="Times New Roman" w:cs="Times New Roman"/>
          <w:sz w:val="24"/>
          <w:szCs w:val="24"/>
          <w:lang w:eastAsia="ru-RU"/>
        </w:rPr>
        <w:t>.</w:t>
      </w:r>
    </w:p>
    <w:p w:rsidR="005144B4" w:rsidRPr="00D4719C" w:rsidRDefault="005144B4" w:rsidP="005144B4">
      <w:pPr>
        <w:spacing w:after="0" w:line="240" w:lineRule="auto"/>
        <w:ind w:firstLine="567"/>
        <w:jc w:val="both"/>
        <w:rPr>
          <w:rFonts w:ascii="Times New Roman" w:eastAsia="Calibri" w:hAnsi="Times New Roman" w:cs="Times New Roman"/>
          <w:b/>
          <w:sz w:val="24"/>
          <w:szCs w:val="24"/>
        </w:rPr>
      </w:pPr>
      <w:r w:rsidRPr="00D4719C">
        <w:rPr>
          <w:rFonts w:ascii="Times New Roman" w:eastAsia="Calibri" w:hAnsi="Times New Roman" w:cs="Times New Roman"/>
          <w:b/>
          <w:sz w:val="24"/>
          <w:szCs w:val="24"/>
        </w:rPr>
        <w:t>5. Информация о предложениях Ревизионной комиссии по итогам мероприятия:</w:t>
      </w:r>
    </w:p>
    <w:p w:rsidR="00E8757B" w:rsidRPr="00D4719C" w:rsidRDefault="00E8757B" w:rsidP="00E8757B">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1</w:t>
      </w:r>
      <w:r w:rsidR="00D4719C"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Своевременно принимать меры </w:t>
      </w:r>
      <w:proofErr w:type="spellStart"/>
      <w:r w:rsidRPr="00D4719C">
        <w:rPr>
          <w:rFonts w:ascii="Times New Roman" w:eastAsia="Calibri" w:hAnsi="Times New Roman" w:cs="Times New Roman"/>
          <w:sz w:val="24"/>
          <w:szCs w:val="24"/>
        </w:rPr>
        <w:t>претензионно</w:t>
      </w:r>
      <w:proofErr w:type="spellEnd"/>
      <w:r w:rsidRPr="00D4719C">
        <w:rPr>
          <w:rFonts w:ascii="Times New Roman" w:eastAsia="Calibri" w:hAnsi="Times New Roman" w:cs="Times New Roman"/>
          <w:sz w:val="24"/>
          <w:szCs w:val="24"/>
        </w:rPr>
        <w:softHyphen/>
        <w:t xml:space="preserve">-искового характера по взысканию задолженности, а также направлять исполнительные документы для принудительного исполнения. </w:t>
      </w:r>
    </w:p>
    <w:p w:rsidR="00E8757B" w:rsidRPr="00D4719C" w:rsidRDefault="00E8757B" w:rsidP="00E8757B">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2</w:t>
      </w:r>
      <w:r w:rsidR="00D4719C"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Осуществлять работу по взаимодействию с Главным управлением Федеральной службы судебных приставов по Красноярскому краю.  </w:t>
      </w:r>
    </w:p>
    <w:p w:rsidR="00E8757B" w:rsidRPr="00D4719C" w:rsidRDefault="00E8757B" w:rsidP="00E8757B">
      <w:pPr>
        <w:suppressAutoHyphen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bidi="hi-IN"/>
        </w:rPr>
      </w:pPr>
      <w:r w:rsidRPr="00D4719C">
        <w:rPr>
          <w:rFonts w:ascii="Times New Roman" w:eastAsia="Calibri" w:hAnsi="Times New Roman" w:cs="Times New Roman"/>
          <w:sz w:val="24"/>
          <w:szCs w:val="24"/>
        </w:rPr>
        <w:t>3</w:t>
      </w:r>
      <w:r w:rsidR="00D4719C" w:rsidRPr="00D4719C">
        <w:rPr>
          <w:rFonts w:ascii="Times New Roman" w:eastAsia="Calibri" w:hAnsi="Times New Roman" w:cs="Times New Roman"/>
          <w:sz w:val="24"/>
          <w:szCs w:val="24"/>
        </w:rPr>
        <w:t>)</w:t>
      </w:r>
      <w:r w:rsidRPr="00D4719C">
        <w:rPr>
          <w:rFonts w:ascii="Times New Roman" w:eastAsia="Calibri" w:hAnsi="Times New Roman" w:cs="Times New Roman"/>
          <w:sz w:val="24"/>
          <w:szCs w:val="24"/>
        </w:rPr>
        <w:t xml:space="preserve">. Установить строгий контроль за </w:t>
      </w:r>
      <w:proofErr w:type="spellStart"/>
      <w:r w:rsidRPr="00D4719C">
        <w:rPr>
          <w:rFonts w:ascii="Times New Roman" w:eastAsia="Times New Roman" w:hAnsi="Times New Roman" w:cs="Times New Roman"/>
          <w:sz w:val="24"/>
          <w:szCs w:val="24"/>
          <w:lang w:eastAsia="ru-RU" w:bidi="hi-IN"/>
        </w:rPr>
        <w:t>претензионно</w:t>
      </w:r>
      <w:proofErr w:type="spellEnd"/>
      <w:r w:rsidRPr="00D4719C">
        <w:rPr>
          <w:rFonts w:ascii="Times New Roman" w:eastAsia="Times New Roman" w:hAnsi="Times New Roman" w:cs="Times New Roman"/>
          <w:sz w:val="24"/>
          <w:szCs w:val="24"/>
          <w:lang w:eastAsia="ru-RU" w:bidi="hi-IN"/>
        </w:rPr>
        <w:t>-исковой деятельностью  по недопущению перехода задолженности в разряд безнадежной ввиду пропуска сроков исковой давности.</w:t>
      </w:r>
    </w:p>
    <w:p w:rsidR="00E8757B" w:rsidRPr="00D4719C" w:rsidRDefault="00E8757B" w:rsidP="00E8757B">
      <w:pPr>
        <w:suppressAutoHyphens/>
        <w:autoSpaceDE w:val="0"/>
        <w:autoSpaceDN w:val="0"/>
        <w:adjustRightInd w:val="0"/>
        <w:spacing w:after="0" w:line="240" w:lineRule="auto"/>
        <w:ind w:firstLine="680"/>
        <w:jc w:val="both"/>
        <w:rPr>
          <w:rFonts w:ascii="Times New Roman" w:eastAsia="Times New Roman" w:hAnsi="Times New Roman" w:cs="Times New Roman"/>
          <w:sz w:val="24"/>
          <w:szCs w:val="24"/>
          <w:lang w:eastAsia="ru-RU" w:bidi="hi-IN"/>
        </w:rPr>
      </w:pPr>
      <w:r w:rsidRPr="00D4719C">
        <w:rPr>
          <w:rFonts w:ascii="Times New Roman" w:eastAsia="Times New Roman" w:hAnsi="Times New Roman" w:cs="Times New Roman"/>
          <w:sz w:val="24"/>
          <w:szCs w:val="24"/>
          <w:lang w:eastAsia="ru-RU" w:bidi="hi-IN"/>
        </w:rPr>
        <w:t>4</w:t>
      </w:r>
      <w:r w:rsidR="00D4719C" w:rsidRPr="00D4719C">
        <w:rPr>
          <w:rFonts w:ascii="Times New Roman" w:eastAsia="Times New Roman" w:hAnsi="Times New Roman" w:cs="Times New Roman"/>
          <w:sz w:val="24"/>
          <w:szCs w:val="24"/>
          <w:lang w:eastAsia="ru-RU" w:bidi="hi-IN"/>
        </w:rPr>
        <w:t>)</w:t>
      </w:r>
      <w:r w:rsidRPr="00D4719C">
        <w:rPr>
          <w:rFonts w:ascii="Times New Roman" w:eastAsia="Times New Roman" w:hAnsi="Times New Roman" w:cs="Times New Roman"/>
          <w:sz w:val="24"/>
          <w:szCs w:val="24"/>
          <w:lang w:eastAsia="ru-RU" w:bidi="hi-IN"/>
        </w:rPr>
        <w:t>. Руководителю учреждения утвердить сотрудников, ответственных за работу с дебиторской задолженностью по доходам.</w:t>
      </w:r>
    </w:p>
    <w:p w:rsidR="00E8757B" w:rsidRPr="00D4719C" w:rsidRDefault="00D4719C" w:rsidP="00E8757B">
      <w:pPr>
        <w:spacing w:after="0" w:line="240" w:lineRule="auto"/>
        <w:contextualSpacing/>
        <w:jc w:val="both"/>
        <w:rPr>
          <w:rFonts w:ascii="Times New Roman" w:eastAsia="Calibri" w:hAnsi="Times New Roman" w:cs="Times New Roman"/>
          <w:sz w:val="24"/>
          <w:szCs w:val="24"/>
          <w:lang w:eastAsia="ru-RU"/>
        </w:rPr>
      </w:pPr>
      <w:r w:rsidRPr="00D4719C">
        <w:rPr>
          <w:rFonts w:ascii="Times New Roman" w:eastAsia="Calibri" w:hAnsi="Times New Roman" w:cs="Times New Roman"/>
          <w:sz w:val="24"/>
          <w:szCs w:val="24"/>
          <w:lang w:eastAsia="ru-RU"/>
        </w:rPr>
        <w:t xml:space="preserve">        5). </w:t>
      </w:r>
      <w:r w:rsidR="00E8757B" w:rsidRPr="00D4719C">
        <w:rPr>
          <w:rFonts w:ascii="Times New Roman" w:eastAsia="Calibri" w:hAnsi="Times New Roman" w:cs="Times New Roman"/>
          <w:sz w:val="24"/>
          <w:szCs w:val="24"/>
          <w:lang w:eastAsia="ru-RU"/>
        </w:rPr>
        <w:t xml:space="preserve"> Руководителю учреждения взять под личный контроль качество работы администратора доходов бюджета с дебиторской задолженностью.  </w:t>
      </w:r>
    </w:p>
    <w:p w:rsidR="00E8757B" w:rsidRPr="00D4719C" w:rsidRDefault="00D4719C" w:rsidP="00E8757B">
      <w:pPr>
        <w:spacing w:after="0" w:line="240" w:lineRule="auto"/>
        <w:ind w:firstLine="709"/>
        <w:contextualSpacing/>
        <w:jc w:val="both"/>
        <w:rPr>
          <w:rFonts w:ascii="Times New Roman" w:eastAsia="Times New Roman" w:hAnsi="Times New Roman" w:cs="Times New Roman"/>
          <w:sz w:val="24"/>
          <w:szCs w:val="24"/>
          <w:lang w:eastAsia="ru-RU"/>
        </w:rPr>
      </w:pPr>
      <w:r w:rsidRPr="00D4719C">
        <w:rPr>
          <w:rFonts w:ascii="Times New Roman" w:eastAsia="Times New Roman" w:hAnsi="Times New Roman" w:cs="Times New Roman"/>
          <w:sz w:val="24"/>
          <w:szCs w:val="24"/>
          <w:lang w:eastAsia="ru-RU"/>
        </w:rPr>
        <w:t xml:space="preserve">6). </w:t>
      </w:r>
      <w:r w:rsidR="00E8757B" w:rsidRPr="00D4719C">
        <w:rPr>
          <w:rFonts w:ascii="Times New Roman" w:eastAsia="Times New Roman" w:hAnsi="Times New Roman" w:cs="Times New Roman"/>
          <w:sz w:val="24"/>
          <w:szCs w:val="24"/>
          <w:lang w:eastAsia="ru-RU"/>
        </w:rPr>
        <w:t xml:space="preserve"> Принять меры к устранению и в последующем недопущению нарушений и недостатков, указанных в акте проверки № 58 от 06.12.2024  года.</w:t>
      </w:r>
    </w:p>
    <w:p w:rsidR="003C2E00" w:rsidRPr="00D4719C" w:rsidRDefault="003C2E00" w:rsidP="003C2E00">
      <w:pPr>
        <w:spacing w:after="0" w:line="240" w:lineRule="auto"/>
        <w:ind w:firstLine="567"/>
        <w:jc w:val="both"/>
        <w:rPr>
          <w:rFonts w:ascii="Times New Roman" w:eastAsia="Calibri" w:hAnsi="Times New Roman" w:cs="Times New Roman"/>
          <w:b/>
          <w:sz w:val="24"/>
          <w:szCs w:val="24"/>
        </w:rPr>
      </w:pPr>
      <w:r w:rsidRPr="00D4719C">
        <w:rPr>
          <w:rFonts w:ascii="Times New Roman" w:eastAsia="Calibri" w:hAnsi="Times New Roman" w:cs="Times New Roman"/>
          <w:b/>
          <w:sz w:val="24"/>
          <w:szCs w:val="24"/>
        </w:rPr>
        <w:t>6. Принятые решения и меры по устранению выявленных нарушений, недостатков и реализации предложений Ревизионной комиссии:</w:t>
      </w:r>
    </w:p>
    <w:p w:rsidR="003C2E00" w:rsidRPr="00D4719C" w:rsidRDefault="003C2E00" w:rsidP="003C2E00">
      <w:pPr>
        <w:spacing w:after="0" w:line="240" w:lineRule="auto"/>
        <w:ind w:firstLine="567"/>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Отчет по результатам контрольного мероприятия утвержден председателем Ревизионной комиссии</w:t>
      </w:r>
      <w:r w:rsidR="00E8757B" w:rsidRPr="00D4719C">
        <w:rPr>
          <w:rFonts w:ascii="Times New Roman" w:eastAsia="Calibri" w:hAnsi="Times New Roman" w:cs="Times New Roman"/>
          <w:sz w:val="24"/>
          <w:szCs w:val="24"/>
        </w:rPr>
        <w:t xml:space="preserve"> 27</w:t>
      </w:r>
      <w:r w:rsidRPr="00D4719C">
        <w:rPr>
          <w:rFonts w:ascii="Times New Roman" w:eastAsia="Calibri" w:hAnsi="Times New Roman" w:cs="Times New Roman"/>
          <w:sz w:val="24"/>
          <w:szCs w:val="24"/>
        </w:rPr>
        <w:t>.</w:t>
      </w:r>
      <w:r w:rsidR="00BC680A" w:rsidRPr="00D4719C">
        <w:rPr>
          <w:rFonts w:ascii="Times New Roman" w:eastAsia="Calibri" w:hAnsi="Times New Roman" w:cs="Times New Roman"/>
          <w:sz w:val="24"/>
          <w:szCs w:val="24"/>
        </w:rPr>
        <w:t>1</w:t>
      </w:r>
      <w:r w:rsidR="009E0FAB" w:rsidRPr="00D4719C">
        <w:rPr>
          <w:rFonts w:ascii="Times New Roman" w:eastAsia="Calibri" w:hAnsi="Times New Roman" w:cs="Times New Roman"/>
          <w:sz w:val="24"/>
          <w:szCs w:val="24"/>
        </w:rPr>
        <w:t>2</w:t>
      </w:r>
      <w:r w:rsidRPr="00D4719C">
        <w:rPr>
          <w:rFonts w:ascii="Times New Roman" w:eastAsia="Calibri" w:hAnsi="Times New Roman" w:cs="Times New Roman"/>
          <w:sz w:val="24"/>
          <w:szCs w:val="24"/>
        </w:rPr>
        <w:t>.202</w:t>
      </w:r>
      <w:r w:rsidR="00AF6271" w:rsidRPr="00D4719C">
        <w:rPr>
          <w:rFonts w:ascii="Times New Roman" w:eastAsia="Calibri" w:hAnsi="Times New Roman" w:cs="Times New Roman"/>
          <w:sz w:val="24"/>
          <w:szCs w:val="24"/>
        </w:rPr>
        <w:t>4</w:t>
      </w:r>
      <w:r w:rsidR="00064317" w:rsidRPr="00D4719C">
        <w:rPr>
          <w:rFonts w:ascii="Times New Roman" w:eastAsia="Calibri" w:hAnsi="Times New Roman" w:cs="Times New Roman"/>
          <w:sz w:val="24"/>
          <w:szCs w:val="24"/>
        </w:rPr>
        <w:t xml:space="preserve"> г.</w:t>
      </w:r>
      <w:r w:rsidR="00E8757B" w:rsidRPr="00D4719C">
        <w:rPr>
          <w:rFonts w:ascii="Times New Roman" w:eastAsia="Calibri" w:hAnsi="Times New Roman" w:cs="Times New Roman"/>
          <w:sz w:val="24"/>
          <w:szCs w:val="24"/>
        </w:rPr>
        <w:t xml:space="preserve">, </w:t>
      </w:r>
      <w:r w:rsidR="00064317" w:rsidRPr="00D4719C">
        <w:rPr>
          <w:rFonts w:ascii="Times New Roman" w:eastAsia="Calibri" w:hAnsi="Times New Roman" w:cs="Times New Roman"/>
          <w:sz w:val="24"/>
          <w:szCs w:val="24"/>
        </w:rPr>
        <w:t>рассмотрен</w:t>
      </w:r>
      <w:r w:rsidR="00AF6271" w:rsidRPr="00D4719C">
        <w:rPr>
          <w:rFonts w:ascii="Times New Roman" w:eastAsia="Calibri" w:hAnsi="Times New Roman" w:cs="Times New Roman"/>
          <w:sz w:val="24"/>
          <w:szCs w:val="24"/>
        </w:rPr>
        <w:t xml:space="preserve"> </w:t>
      </w:r>
      <w:proofErr w:type="spellStart"/>
      <w:r w:rsidR="00AF6271" w:rsidRPr="00D4719C">
        <w:rPr>
          <w:rFonts w:ascii="Times New Roman" w:eastAsia="Calibri" w:hAnsi="Times New Roman" w:cs="Times New Roman"/>
          <w:sz w:val="24"/>
          <w:szCs w:val="24"/>
        </w:rPr>
        <w:t>Кежемски</w:t>
      </w:r>
      <w:r w:rsidR="00064317" w:rsidRPr="00D4719C">
        <w:rPr>
          <w:rFonts w:ascii="Times New Roman" w:eastAsia="Calibri" w:hAnsi="Times New Roman" w:cs="Times New Roman"/>
          <w:sz w:val="24"/>
          <w:szCs w:val="24"/>
        </w:rPr>
        <w:t>м</w:t>
      </w:r>
      <w:proofErr w:type="spellEnd"/>
      <w:r w:rsidR="00064317" w:rsidRPr="00D4719C">
        <w:rPr>
          <w:rFonts w:ascii="Times New Roman" w:eastAsia="Calibri" w:hAnsi="Times New Roman" w:cs="Times New Roman"/>
          <w:sz w:val="24"/>
          <w:szCs w:val="24"/>
        </w:rPr>
        <w:t xml:space="preserve"> районным</w:t>
      </w:r>
      <w:r w:rsidR="00AF6271" w:rsidRPr="00D4719C">
        <w:rPr>
          <w:rFonts w:ascii="Times New Roman" w:eastAsia="Calibri" w:hAnsi="Times New Roman" w:cs="Times New Roman"/>
          <w:sz w:val="24"/>
          <w:szCs w:val="24"/>
        </w:rPr>
        <w:t xml:space="preserve"> Совет</w:t>
      </w:r>
      <w:r w:rsidR="00064317" w:rsidRPr="00D4719C">
        <w:rPr>
          <w:rFonts w:ascii="Times New Roman" w:eastAsia="Calibri" w:hAnsi="Times New Roman" w:cs="Times New Roman"/>
          <w:sz w:val="24"/>
          <w:szCs w:val="24"/>
        </w:rPr>
        <w:t>ом</w:t>
      </w:r>
      <w:r w:rsidR="00AF6271" w:rsidRPr="00D4719C">
        <w:rPr>
          <w:rFonts w:ascii="Times New Roman" w:eastAsia="Calibri" w:hAnsi="Times New Roman" w:cs="Times New Roman"/>
          <w:sz w:val="24"/>
          <w:szCs w:val="24"/>
        </w:rPr>
        <w:t xml:space="preserve"> депутатов и принят к сведению.</w:t>
      </w:r>
    </w:p>
    <w:p w:rsidR="007A7B79" w:rsidRPr="00D4719C" w:rsidRDefault="007A7B79" w:rsidP="007A7B79">
      <w:pPr>
        <w:spacing w:after="0" w:line="240" w:lineRule="auto"/>
        <w:ind w:firstLine="567"/>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В настоящее время предложения по результатам проверки находятся в стадии рассмотрения и реализации.</w:t>
      </w:r>
    </w:p>
    <w:p w:rsidR="007A7B79" w:rsidRPr="00D4719C" w:rsidRDefault="007A7B79" w:rsidP="007A7B79">
      <w:pPr>
        <w:spacing w:after="0" w:line="240" w:lineRule="auto"/>
        <w:ind w:firstLine="567"/>
        <w:jc w:val="both"/>
        <w:rPr>
          <w:rFonts w:ascii="Times New Roman" w:eastAsia="Calibri" w:hAnsi="Times New Roman" w:cs="Times New Roman"/>
          <w:sz w:val="24"/>
          <w:szCs w:val="24"/>
        </w:rPr>
      </w:pPr>
      <w:r w:rsidRPr="00D4719C">
        <w:rPr>
          <w:rFonts w:ascii="Times New Roman" w:eastAsia="Calibri" w:hAnsi="Times New Roman" w:cs="Times New Roman"/>
          <w:sz w:val="24"/>
          <w:szCs w:val="24"/>
        </w:rPr>
        <w:t>Объекту контроля в целях принятия мер по пресечению, устранению и предупреждению нарушений направлено представление. Своевременность и полнота направления соответствующей информации по результатам проверки находится на контроле Ревизионной комиссии.</w:t>
      </w:r>
    </w:p>
    <w:p w:rsidR="00DC1E7E" w:rsidRPr="00D4719C" w:rsidRDefault="00DC1E7E" w:rsidP="00DC1E7E">
      <w:pPr>
        <w:spacing w:after="0" w:line="240" w:lineRule="auto"/>
        <w:jc w:val="both"/>
        <w:rPr>
          <w:rFonts w:ascii="Times New Roman" w:hAnsi="Times New Roman" w:cs="Times New Roman"/>
          <w:sz w:val="24"/>
          <w:szCs w:val="24"/>
        </w:rPr>
      </w:pPr>
    </w:p>
    <w:p w:rsidR="00BC680A" w:rsidRPr="00D4719C" w:rsidRDefault="00BC680A" w:rsidP="00DC1E7E">
      <w:pPr>
        <w:spacing w:after="0" w:line="240" w:lineRule="auto"/>
        <w:jc w:val="both"/>
        <w:rPr>
          <w:rFonts w:ascii="Times New Roman" w:hAnsi="Times New Roman" w:cs="Times New Roman"/>
          <w:sz w:val="24"/>
          <w:szCs w:val="24"/>
        </w:rPr>
      </w:pPr>
    </w:p>
    <w:sectPr w:rsidR="00BC680A" w:rsidRPr="00D4719C" w:rsidSect="00B274D2">
      <w:footerReference w:type="default" r:id="rId15"/>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59" w:rsidRDefault="00B43F59" w:rsidP="00AA05EC">
      <w:pPr>
        <w:spacing w:after="0" w:line="240" w:lineRule="auto"/>
      </w:pPr>
      <w:r>
        <w:separator/>
      </w:r>
    </w:p>
  </w:endnote>
  <w:endnote w:type="continuationSeparator" w:id="0">
    <w:p w:rsidR="00B43F59" w:rsidRDefault="00B43F59" w:rsidP="00AA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7084"/>
      <w:docPartObj>
        <w:docPartGallery w:val="Page Numbers (Bottom of Page)"/>
        <w:docPartUnique/>
      </w:docPartObj>
    </w:sdtPr>
    <w:sdtEndPr/>
    <w:sdtContent>
      <w:p w:rsidR="00E8757B" w:rsidRDefault="00E8757B">
        <w:pPr>
          <w:pStyle w:val="ab"/>
          <w:jc w:val="right"/>
        </w:pPr>
        <w:r>
          <w:fldChar w:fldCharType="begin"/>
        </w:r>
        <w:r>
          <w:instrText xml:space="preserve"> PAGE   \* MERGEFORMAT </w:instrText>
        </w:r>
        <w:r>
          <w:fldChar w:fldCharType="separate"/>
        </w:r>
        <w:r w:rsidR="00E51875">
          <w:rPr>
            <w:noProof/>
          </w:rPr>
          <w:t>1</w:t>
        </w:r>
        <w:r>
          <w:rPr>
            <w:noProof/>
          </w:rPr>
          <w:fldChar w:fldCharType="end"/>
        </w:r>
      </w:p>
    </w:sdtContent>
  </w:sdt>
  <w:p w:rsidR="00E8757B" w:rsidRDefault="00E875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59" w:rsidRDefault="00B43F59" w:rsidP="00AA05EC">
      <w:pPr>
        <w:spacing w:after="0" w:line="240" w:lineRule="auto"/>
      </w:pPr>
      <w:r>
        <w:separator/>
      </w:r>
    </w:p>
  </w:footnote>
  <w:footnote w:type="continuationSeparator" w:id="0">
    <w:p w:rsidR="00B43F59" w:rsidRDefault="00B43F59" w:rsidP="00AA0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75F"/>
    <w:multiLevelType w:val="hybridMultilevel"/>
    <w:tmpl w:val="901A9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B3B32"/>
    <w:multiLevelType w:val="hybridMultilevel"/>
    <w:tmpl w:val="62443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C5AEF"/>
    <w:multiLevelType w:val="hybridMultilevel"/>
    <w:tmpl w:val="A798E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855C9"/>
    <w:multiLevelType w:val="hybridMultilevel"/>
    <w:tmpl w:val="A5E837CC"/>
    <w:lvl w:ilvl="0" w:tplc="0419000B">
      <w:start w:val="1"/>
      <w:numFmt w:val="bullet"/>
      <w:lvlText w:val=""/>
      <w:lvlJc w:val="left"/>
      <w:pPr>
        <w:ind w:left="1509" w:hanging="360"/>
      </w:pPr>
      <w:rPr>
        <w:rFonts w:ascii="Wingdings" w:hAnsi="Wingdings"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4">
    <w:nsid w:val="1299258D"/>
    <w:multiLevelType w:val="hybridMultilevel"/>
    <w:tmpl w:val="3E768A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305691B"/>
    <w:multiLevelType w:val="hybridMultilevel"/>
    <w:tmpl w:val="CB60D6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9B5494"/>
    <w:multiLevelType w:val="hybridMultilevel"/>
    <w:tmpl w:val="6CF8F642"/>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17A24D99"/>
    <w:multiLevelType w:val="hybridMultilevel"/>
    <w:tmpl w:val="2E8E8A02"/>
    <w:lvl w:ilvl="0" w:tplc="6BB8FCB4">
      <w:start w:val="1"/>
      <w:numFmt w:val="bullet"/>
      <w:lvlText w:val=""/>
      <w:lvlJc w:val="left"/>
      <w:pPr>
        <w:ind w:left="928" w:hanging="360"/>
      </w:pPr>
      <w:rPr>
        <w:rFonts w:ascii="Symbol" w:hAnsi="Symbol" w:hint="default"/>
      </w:rPr>
    </w:lvl>
    <w:lvl w:ilvl="1" w:tplc="04190003">
      <w:start w:val="1"/>
      <w:numFmt w:val="bullet"/>
      <w:lvlText w:val="o"/>
      <w:lvlJc w:val="left"/>
      <w:pPr>
        <w:ind w:left="939" w:hanging="360"/>
      </w:pPr>
      <w:rPr>
        <w:rFonts w:ascii="Courier New" w:hAnsi="Courier New" w:cs="Courier New" w:hint="default"/>
      </w:rPr>
    </w:lvl>
    <w:lvl w:ilvl="2" w:tplc="04190005">
      <w:start w:val="1"/>
      <w:numFmt w:val="bullet"/>
      <w:lvlText w:val=""/>
      <w:lvlJc w:val="left"/>
      <w:pPr>
        <w:ind w:left="1659" w:hanging="360"/>
      </w:pPr>
      <w:rPr>
        <w:rFonts w:ascii="Wingdings" w:hAnsi="Wingdings" w:hint="default"/>
      </w:rPr>
    </w:lvl>
    <w:lvl w:ilvl="3" w:tplc="04190001">
      <w:start w:val="1"/>
      <w:numFmt w:val="bullet"/>
      <w:lvlText w:val=""/>
      <w:lvlJc w:val="left"/>
      <w:pPr>
        <w:ind w:left="2379" w:hanging="360"/>
      </w:pPr>
      <w:rPr>
        <w:rFonts w:ascii="Symbol" w:hAnsi="Symbol" w:hint="default"/>
      </w:rPr>
    </w:lvl>
    <w:lvl w:ilvl="4" w:tplc="04190003">
      <w:start w:val="1"/>
      <w:numFmt w:val="bullet"/>
      <w:lvlText w:val="o"/>
      <w:lvlJc w:val="left"/>
      <w:pPr>
        <w:ind w:left="3099" w:hanging="360"/>
      </w:pPr>
      <w:rPr>
        <w:rFonts w:ascii="Courier New" w:hAnsi="Courier New" w:cs="Courier New" w:hint="default"/>
      </w:rPr>
    </w:lvl>
    <w:lvl w:ilvl="5" w:tplc="04190005">
      <w:start w:val="1"/>
      <w:numFmt w:val="bullet"/>
      <w:lvlText w:val=""/>
      <w:lvlJc w:val="left"/>
      <w:pPr>
        <w:ind w:left="3819" w:hanging="360"/>
      </w:pPr>
      <w:rPr>
        <w:rFonts w:ascii="Wingdings" w:hAnsi="Wingdings" w:hint="default"/>
      </w:rPr>
    </w:lvl>
    <w:lvl w:ilvl="6" w:tplc="04190001">
      <w:start w:val="1"/>
      <w:numFmt w:val="bullet"/>
      <w:lvlText w:val=""/>
      <w:lvlJc w:val="left"/>
      <w:pPr>
        <w:ind w:left="4539" w:hanging="360"/>
      </w:pPr>
      <w:rPr>
        <w:rFonts w:ascii="Symbol" w:hAnsi="Symbol" w:hint="default"/>
      </w:rPr>
    </w:lvl>
    <w:lvl w:ilvl="7" w:tplc="04190003">
      <w:start w:val="1"/>
      <w:numFmt w:val="bullet"/>
      <w:lvlText w:val="o"/>
      <w:lvlJc w:val="left"/>
      <w:pPr>
        <w:ind w:left="5259" w:hanging="360"/>
      </w:pPr>
      <w:rPr>
        <w:rFonts w:ascii="Courier New" w:hAnsi="Courier New" w:cs="Courier New" w:hint="default"/>
      </w:rPr>
    </w:lvl>
    <w:lvl w:ilvl="8" w:tplc="04190005">
      <w:start w:val="1"/>
      <w:numFmt w:val="bullet"/>
      <w:lvlText w:val=""/>
      <w:lvlJc w:val="left"/>
      <w:pPr>
        <w:ind w:left="5979" w:hanging="360"/>
      </w:pPr>
      <w:rPr>
        <w:rFonts w:ascii="Wingdings" w:hAnsi="Wingdings" w:hint="default"/>
      </w:rPr>
    </w:lvl>
  </w:abstractNum>
  <w:abstractNum w:abstractNumId="8">
    <w:nsid w:val="1A462717"/>
    <w:multiLevelType w:val="hybridMultilevel"/>
    <w:tmpl w:val="402ADD2A"/>
    <w:lvl w:ilvl="0" w:tplc="4D7C07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B8E3D43"/>
    <w:multiLevelType w:val="hybridMultilevel"/>
    <w:tmpl w:val="9BB02AAE"/>
    <w:lvl w:ilvl="0" w:tplc="FC9A67FC">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3116A1"/>
    <w:multiLevelType w:val="hybridMultilevel"/>
    <w:tmpl w:val="6B146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11F85"/>
    <w:multiLevelType w:val="hybridMultilevel"/>
    <w:tmpl w:val="0144DAD8"/>
    <w:lvl w:ilvl="0" w:tplc="545CE0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EC3537"/>
    <w:multiLevelType w:val="hybridMultilevel"/>
    <w:tmpl w:val="B80E7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1318EA"/>
    <w:multiLevelType w:val="hybridMultilevel"/>
    <w:tmpl w:val="13809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1777753"/>
    <w:multiLevelType w:val="hybridMultilevel"/>
    <w:tmpl w:val="FC2A9894"/>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nsid w:val="2557385F"/>
    <w:multiLevelType w:val="hybridMultilevel"/>
    <w:tmpl w:val="A48052A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825406A"/>
    <w:multiLevelType w:val="hybridMultilevel"/>
    <w:tmpl w:val="A220183C"/>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nsid w:val="29525880"/>
    <w:multiLevelType w:val="hybridMultilevel"/>
    <w:tmpl w:val="68C0232A"/>
    <w:lvl w:ilvl="0" w:tplc="2FA40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C731DD"/>
    <w:multiLevelType w:val="hybridMultilevel"/>
    <w:tmpl w:val="A998A5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391AD7"/>
    <w:multiLevelType w:val="hybridMultilevel"/>
    <w:tmpl w:val="D0CA7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300024C3"/>
    <w:multiLevelType w:val="hybridMultilevel"/>
    <w:tmpl w:val="D02E10AA"/>
    <w:lvl w:ilvl="0" w:tplc="67EEB44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351E66"/>
    <w:multiLevelType w:val="hybridMultilevel"/>
    <w:tmpl w:val="BD4C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294023"/>
    <w:multiLevelType w:val="hybridMultilevel"/>
    <w:tmpl w:val="DDE06A16"/>
    <w:lvl w:ilvl="0" w:tplc="ED80E0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39D90726"/>
    <w:multiLevelType w:val="hybridMultilevel"/>
    <w:tmpl w:val="F94C9C9C"/>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4">
    <w:nsid w:val="3C375557"/>
    <w:multiLevelType w:val="hybridMultilevel"/>
    <w:tmpl w:val="D3D2BB94"/>
    <w:lvl w:ilvl="0" w:tplc="47725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C91C56"/>
    <w:multiLevelType w:val="hybridMultilevel"/>
    <w:tmpl w:val="1B2837BC"/>
    <w:lvl w:ilvl="0" w:tplc="66C06F30">
      <w:start w:val="1"/>
      <w:numFmt w:val="decimal"/>
      <w:lvlText w:val="%1)"/>
      <w:lvlJc w:val="left"/>
      <w:pPr>
        <w:ind w:left="1069" w:hanging="360"/>
      </w:pPr>
      <w:rPr>
        <w:rFonts w:eastAsia="Times New Roman" w:hint="default"/>
        <w:color w:val="FF000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0A94B25"/>
    <w:multiLevelType w:val="hybridMultilevel"/>
    <w:tmpl w:val="F8D22D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D971EB"/>
    <w:multiLevelType w:val="hybridMultilevel"/>
    <w:tmpl w:val="F00C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C53F16"/>
    <w:multiLevelType w:val="multilevel"/>
    <w:tmpl w:val="BB0E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AD6039"/>
    <w:multiLevelType w:val="hybridMultilevel"/>
    <w:tmpl w:val="5FBE5CB4"/>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0">
    <w:nsid w:val="4A600E04"/>
    <w:multiLevelType w:val="hybridMultilevel"/>
    <w:tmpl w:val="BABA2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45AB8"/>
    <w:multiLevelType w:val="hybridMultilevel"/>
    <w:tmpl w:val="6E6A34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5F0A66"/>
    <w:multiLevelType w:val="hybridMultilevel"/>
    <w:tmpl w:val="4CFE3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504BE0C">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25456E"/>
    <w:multiLevelType w:val="hybridMultilevel"/>
    <w:tmpl w:val="E92284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B4E01CE"/>
    <w:multiLevelType w:val="hybridMultilevel"/>
    <w:tmpl w:val="B81C8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E93220"/>
    <w:multiLevelType w:val="hybridMultilevel"/>
    <w:tmpl w:val="043AA076"/>
    <w:lvl w:ilvl="0" w:tplc="221E27D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B1914"/>
    <w:multiLevelType w:val="hybridMultilevel"/>
    <w:tmpl w:val="B9C085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520963"/>
    <w:multiLevelType w:val="hybridMultilevel"/>
    <w:tmpl w:val="B76051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AF87F7A"/>
    <w:multiLevelType w:val="hybridMultilevel"/>
    <w:tmpl w:val="A57650A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6C3F7455"/>
    <w:multiLevelType w:val="hybridMultilevel"/>
    <w:tmpl w:val="6804F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313961"/>
    <w:multiLevelType w:val="hybridMultilevel"/>
    <w:tmpl w:val="E7228C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5F26DF"/>
    <w:multiLevelType w:val="hybridMultilevel"/>
    <w:tmpl w:val="05A03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nsid w:val="73E60582"/>
    <w:multiLevelType w:val="hybridMultilevel"/>
    <w:tmpl w:val="5A54A7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590E2C"/>
    <w:multiLevelType w:val="hybridMultilevel"/>
    <w:tmpl w:val="0D641F44"/>
    <w:lvl w:ilvl="0" w:tplc="B5366EC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C621F2"/>
    <w:multiLevelType w:val="hybridMultilevel"/>
    <w:tmpl w:val="271EFC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4"/>
  </w:num>
  <w:num w:numId="3">
    <w:abstractNumId w:val="7"/>
  </w:num>
  <w:num w:numId="4">
    <w:abstractNumId w:val="27"/>
  </w:num>
  <w:num w:numId="5">
    <w:abstractNumId w:val="33"/>
  </w:num>
  <w:num w:numId="6">
    <w:abstractNumId w:val="23"/>
  </w:num>
  <w:num w:numId="7">
    <w:abstractNumId w:val="34"/>
  </w:num>
  <w:num w:numId="8">
    <w:abstractNumId w:val="21"/>
  </w:num>
  <w:num w:numId="9">
    <w:abstractNumId w:val="4"/>
  </w:num>
  <w:num w:numId="10">
    <w:abstractNumId w:val="18"/>
  </w:num>
  <w:num w:numId="11">
    <w:abstractNumId w:val="16"/>
  </w:num>
  <w:num w:numId="12">
    <w:abstractNumId w:val="25"/>
  </w:num>
  <w:num w:numId="13">
    <w:abstractNumId w:val="0"/>
  </w:num>
  <w:num w:numId="14">
    <w:abstractNumId w:val="6"/>
  </w:num>
  <w:num w:numId="15">
    <w:abstractNumId w:val="2"/>
  </w:num>
  <w:num w:numId="16">
    <w:abstractNumId w:val="14"/>
  </w:num>
  <w:num w:numId="17">
    <w:abstractNumId w:val="39"/>
  </w:num>
  <w:num w:numId="18">
    <w:abstractNumId w:val="40"/>
  </w:num>
  <w:num w:numId="19">
    <w:abstractNumId w:val="29"/>
  </w:num>
  <w:num w:numId="20">
    <w:abstractNumId w:val="8"/>
  </w:num>
  <w:num w:numId="21">
    <w:abstractNumId w:val="17"/>
  </w:num>
  <w:num w:numId="22">
    <w:abstractNumId w:val="32"/>
  </w:num>
  <w:num w:numId="23">
    <w:abstractNumId w:val="10"/>
  </w:num>
  <w:num w:numId="24">
    <w:abstractNumId w:val="26"/>
  </w:num>
  <w:num w:numId="25">
    <w:abstractNumId w:val="44"/>
  </w:num>
  <w:num w:numId="26">
    <w:abstractNumId w:val="37"/>
  </w:num>
  <w:num w:numId="27">
    <w:abstractNumId w:val="31"/>
  </w:num>
  <w:num w:numId="28">
    <w:abstractNumId w:val="36"/>
  </w:num>
  <w:num w:numId="29">
    <w:abstractNumId w:val="11"/>
  </w:num>
  <w:num w:numId="30">
    <w:abstractNumId w:val="30"/>
  </w:num>
  <w:num w:numId="31">
    <w:abstractNumId w:val="1"/>
  </w:num>
  <w:num w:numId="32">
    <w:abstractNumId w:val="12"/>
  </w:num>
  <w:num w:numId="33">
    <w:abstractNumId w:val="22"/>
  </w:num>
  <w:num w:numId="34">
    <w:abstractNumId w:val="43"/>
  </w:num>
  <w:num w:numId="35">
    <w:abstractNumId w:val="13"/>
  </w:num>
  <w:num w:numId="36">
    <w:abstractNumId w:val="19"/>
  </w:num>
  <w:num w:numId="37">
    <w:abstractNumId w:val="15"/>
  </w:num>
  <w:num w:numId="38">
    <w:abstractNumId w:val="41"/>
  </w:num>
  <w:num w:numId="39">
    <w:abstractNumId w:val="2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42"/>
  </w:num>
  <w:num w:numId="43">
    <w:abstractNumId w:val="20"/>
  </w:num>
  <w:num w:numId="44">
    <w:abstractNumId w:val="3"/>
  </w:num>
  <w:num w:numId="45">
    <w:abstractNumId w:val="3"/>
  </w:num>
  <w:num w:numId="46">
    <w:abstractNumId w:val="38"/>
  </w:num>
  <w:num w:numId="47">
    <w:abstractNumId w:val="3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0C6B"/>
    <w:rsid w:val="00002810"/>
    <w:rsid w:val="0000546C"/>
    <w:rsid w:val="000227BA"/>
    <w:rsid w:val="00023524"/>
    <w:rsid w:val="00035D2D"/>
    <w:rsid w:val="00041A9D"/>
    <w:rsid w:val="0004742B"/>
    <w:rsid w:val="00047E98"/>
    <w:rsid w:val="00060474"/>
    <w:rsid w:val="00064317"/>
    <w:rsid w:val="0007384E"/>
    <w:rsid w:val="00086D5C"/>
    <w:rsid w:val="00096CB4"/>
    <w:rsid w:val="00097E79"/>
    <w:rsid w:val="000A7E63"/>
    <w:rsid w:val="000B6DBA"/>
    <w:rsid w:val="000B749E"/>
    <w:rsid w:val="000E6DEF"/>
    <w:rsid w:val="000E74E9"/>
    <w:rsid w:val="000F2FD6"/>
    <w:rsid w:val="00104B26"/>
    <w:rsid w:val="001059C1"/>
    <w:rsid w:val="00107D4D"/>
    <w:rsid w:val="001170E3"/>
    <w:rsid w:val="00120957"/>
    <w:rsid w:val="00123D68"/>
    <w:rsid w:val="00124142"/>
    <w:rsid w:val="00137E10"/>
    <w:rsid w:val="001401A3"/>
    <w:rsid w:val="00141A00"/>
    <w:rsid w:val="00150F35"/>
    <w:rsid w:val="00153C01"/>
    <w:rsid w:val="00156CE3"/>
    <w:rsid w:val="00166CD9"/>
    <w:rsid w:val="001726EF"/>
    <w:rsid w:val="00172F66"/>
    <w:rsid w:val="00180C73"/>
    <w:rsid w:val="00190C6B"/>
    <w:rsid w:val="001B08C4"/>
    <w:rsid w:val="001C2CFD"/>
    <w:rsid w:val="001C55FF"/>
    <w:rsid w:val="001D7DFC"/>
    <w:rsid w:val="001E21EE"/>
    <w:rsid w:val="001F278B"/>
    <w:rsid w:val="001F54C5"/>
    <w:rsid w:val="00203D2E"/>
    <w:rsid w:val="00220888"/>
    <w:rsid w:val="002255E1"/>
    <w:rsid w:val="00226B6B"/>
    <w:rsid w:val="002278BF"/>
    <w:rsid w:val="00252A06"/>
    <w:rsid w:val="00252E5C"/>
    <w:rsid w:val="00255D94"/>
    <w:rsid w:val="0025644E"/>
    <w:rsid w:val="002603B5"/>
    <w:rsid w:val="002671E0"/>
    <w:rsid w:val="0029323F"/>
    <w:rsid w:val="002A1B4F"/>
    <w:rsid w:val="002A76D4"/>
    <w:rsid w:val="002B1A14"/>
    <w:rsid w:val="002C0499"/>
    <w:rsid w:val="002C08F1"/>
    <w:rsid w:val="002C2533"/>
    <w:rsid w:val="002D51DA"/>
    <w:rsid w:val="002E1EE0"/>
    <w:rsid w:val="002E1F53"/>
    <w:rsid w:val="002E5658"/>
    <w:rsid w:val="002E6FC9"/>
    <w:rsid w:val="00300058"/>
    <w:rsid w:val="00300A2F"/>
    <w:rsid w:val="003013B9"/>
    <w:rsid w:val="00305D5A"/>
    <w:rsid w:val="003129BA"/>
    <w:rsid w:val="00346D14"/>
    <w:rsid w:val="003513D8"/>
    <w:rsid w:val="0036412E"/>
    <w:rsid w:val="00367A69"/>
    <w:rsid w:val="00376454"/>
    <w:rsid w:val="003942B2"/>
    <w:rsid w:val="003978E1"/>
    <w:rsid w:val="003A0F59"/>
    <w:rsid w:val="003A1F20"/>
    <w:rsid w:val="003A3949"/>
    <w:rsid w:val="003A41CC"/>
    <w:rsid w:val="003A4FA7"/>
    <w:rsid w:val="003B019B"/>
    <w:rsid w:val="003B1133"/>
    <w:rsid w:val="003B52DF"/>
    <w:rsid w:val="003B6AED"/>
    <w:rsid w:val="003C2E00"/>
    <w:rsid w:val="003C3FED"/>
    <w:rsid w:val="003C586C"/>
    <w:rsid w:val="003C69C7"/>
    <w:rsid w:val="003D61E5"/>
    <w:rsid w:val="003E0918"/>
    <w:rsid w:val="003E5443"/>
    <w:rsid w:val="003E60D3"/>
    <w:rsid w:val="003F4C95"/>
    <w:rsid w:val="00403DFC"/>
    <w:rsid w:val="00406821"/>
    <w:rsid w:val="00413262"/>
    <w:rsid w:val="004436A0"/>
    <w:rsid w:val="00446BC6"/>
    <w:rsid w:val="00453DEC"/>
    <w:rsid w:val="00466573"/>
    <w:rsid w:val="00477AD2"/>
    <w:rsid w:val="004838A2"/>
    <w:rsid w:val="00496C01"/>
    <w:rsid w:val="004B006E"/>
    <w:rsid w:val="004B2C9A"/>
    <w:rsid w:val="004B4354"/>
    <w:rsid w:val="004B79A3"/>
    <w:rsid w:val="004C3CEB"/>
    <w:rsid w:val="004D160B"/>
    <w:rsid w:val="004D4335"/>
    <w:rsid w:val="004D4A53"/>
    <w:rsid w:val="004D5AE3"/>
    <w:rsid w:val="004E11D1"/>
    <w:rsid w:val="004E272A"/>
    <w:rsid w:val="004F399C"/>
    <w:rsid w:val="005144B4"/>
    <w:rsid w:val="005241D9"/>
    <w:rsid w:val="00530D30"/>
    <w:rsid w:val="00541765"/>
    <w:rsid w:val="00556911"/>
    <w:rsid w:val="005620C9"/>
    <w:rsid w:val="00565480"/>
    <w:rsid w:val="00566895"/>
    <w:rsid w:val="00573EC7"/>
    <w:rsid w:val="00575AD8"/>
    <w:rsid w:val="00584F4F"/>
    <w:rsid w:val="00593F4B"/>
    <w:rsid w:val="00596E52"/>
    <w:rsid w:val="0059712A"/>
    <w:rsid w:val="005A5FA9"/>
    <w:rsid w:val="005B067C"/>
    <w:rsid w:val="005B43E4"/>
    <w:rsid w:val="005C0BA4"/>
    <w:rsid w:val="005C2AF7"/>
    <w:rsid w:val="005C4CCA"/>
    <w:rsid w:val="005D56FF"/>
    <w:rsid w:val="005E15E0"/>
    <w:rsid w:val="005E211B"/>
    <w:rsid w:val="005F293D"/>
    <w:rsid w:val="005F325B"/>
    <w:rsid w:val="005F544D"/>
    <w:rsid w:val="006039C2"/>
    <w:rsid w:val="0060798A"/>
    <w:rsid w:val="006134C6"/>
    <w:rsid w:val="00640AB4"/>
    <w:rsid w:val="006448A1"/>
    <w:rsid w:val="00660138"/>
    <w:rsid w:val="00660C56"/>
    <w:rsid w:val="006660E1"/>
    <w:rsid w:val="00682AC0"/>
    <w:rsid w:val="006865CB"/>
    <w:rsid w:val="00690E62"/>
    <w:rsid w:val="00693BE6"/>
    <w:rsid w:val="0069562F"/>
    <w:rsid w:val="006B6A7A"/>
    <w:rsid w:val="006D309D"/>
    <w:rsid w:val="00714FD8"/>
    <w:rsid w:val="007164D7"/>
    <w:rsid w:val="00720F65"/>
    <w:rsid w:val="007245B5"/>
    <w:rsid w:val="00736139"/>
    <w:rsid w:val="0074270C"/>
    <w:rsid w:val="00752170"/>
    <w:rsid w:val="00754D17"/>
    <w:rsid w:val="00757DF7"/>
    <w:rsid w:val="00762702"/>
    <w:rsid w:val="00765674"/>
    <w:rsid w:val="00765BFC"/>
    <w:rsid w:val="00770AD9"/>
    <w:rsid w:val="00774969"/>
    <w:rsid w:val="00782F48"/>
    <w:rsid w:val="007862E6"/>
    <w:rsid w:val="00797B64"/>
    <w:rsid w:val="007A7B79"/>
    <w:rsid w:val="007B735A"/>
    <w:rsid w:val="007C1CDB"/>
    <w:rsid w:val="007C29C5"/>
    <w:rsid w:val="007C40F0"/>
    <w:rsid w:val="007C5AD1"/>
    <w:rsid w:val="007C68CE"/>
    <w:rsid w:val="007E392C"/>
    <w:rsid w:val="0080000D"/>
    <w:rsid w:val="00805F68"/>
    <w:rsid w:val="008225B8"/>
    <w:rsid w:val="00834378"/>
    <w:rsid w:val="008405ED"/>
    <w:rsid w:val="00843802"/>
    <w:rsid w:val="00855EBF"/>
    <w:rsid w:val="00877339"/>
    <w:rsid w:val="00881F7E"/>
    <w:rsid w:val="00892B9A"/>
    <w:rsid w:val="008957E6"/>
    <w:rsid w:val="008A01CA"/>
    <w:rsid w:val="008B3F71"/>
    <w:rsid w:val="008C1010"/>
    <w:rsid w:val="008C2B86"/>
    <w:rsid w:val="008C5562"/>
    <w:rsid w:val="008E0D02"/>
    <w:rsid w:val="008E1AB8"/>
    <w:rsid w:val="008E4D38"/>
    <w:rsid w:val="008E752E"/>
    <w:rsid w:val="008F6B07"/>
    <w:rsid w:val="00906353"/>
    <w:rsid w:val="0091239E"/>
    <w:rsid w:val="009163D9"/>
    <w:rsid w:val="0093534E"/>
    <w:rsid w:val="00962304"/>
    <w:rsid w:val="00970AA6"/>
    <w:rsid w:val="009721E2"/>
    <w:rsid w:val="009A45B8"/>
    <w:rsid w:val="009A686D"/>
    <w:rsid w:val="009C3530"/>
    <w:rsid w:val="009C6FC2"/>
    <w:rsid w:val="009E0FAB"/>
    <w:rsid w:val="009E3CD9"/>
    <w:rsid w:val="009F6CAC"/>
    <w:rsid w:val="00A06DBD"/>
    <w:rsid w:val="00A06F5E"/>
    <w:rsid w:val="00A20B4B"/>
    <w:rsid w:val="00A22D1F"/>
    <w:rsid w:val="00A30B9F"/>
    <w:rsid w:val="00A7014C"/>
    <w:rsid w:val="00A819BD"/>
    <w:rsid w:val="00A85AC6"/>
    <w:rsid w:val="00A87504"/>
    <w:rsid w:val="00AA05EC"/>
    <w:rsid w:val="00AB07AB"/>
    <w:rsid w:val="00AC0202"/>
    <w:rsid w:val="00AC7DF1"/>
    <w:rsid w:val="00AD17F2"/>
    <w:rsid w:val="00AD49C4"/>
    <w:rsid w:val="00AF6271"/>
    <w:rsid w:val="00B1010D"/>
    <w:rsid w:val="00B16751"/>
    <w:rsid w:val="00B16A9A"/>
    <w:rsid w:val="00B225E9"/>
    <w:rsid w:val="00B22BC5"/>
    <w:rsid w:val="00B244C7"/>
    <w:rsid w:val="00B24550"/>
    <w:rsid w:val="00B258AE"/>
    <w:rsid w:val="00B25A10"/>
    <w:rsid w:val="00B274D2"/>
    <w:rsid w:val="00B31FF9"/>
    <w:rsid w:val="00B35BE1"/>
    <w:rsid w:val="00B3754A"/>
    <w:rsid w:val="00B43F59"/>
    <w:rsid w:val="00B519DE"/>
    <w:rsid w:val="00B57858"/>
    <w:rsid w:val="00B60C5A"/>
    <w:rsid w:val="00B70496"/>
    <w:rsid w:val="00B72ADE"/>
    <w:rsid w:val="00B736B3"/>
    <w:rsid w:val="00B84076"/>
    <w:rsid w:val="00B91CCA"/>
    <w:rsid w:val="00BA5D32"/>
    <w:rsid w:val="00BC14F3"/>
    <w:rsid w:val="00BC2F37"/>
    <w:rsid w:val="00BC680A"/>
    <w:rsid w:val="00BF0C43"/>
    <w:rsid w:val="00C27079"/>
    <w:rsid w:val="00C31237"/>
    <w:rsid w:val="00C32AA4"/>
    <w:rsid w:val="00C35C63"/>
    <w:rsid w:val="00C50E9A"/>
    <w:rsid w:val="00C55080"/>
    <w:rsid w:val="00C71F81"/>
    <w:rsid w:val="00C72BBE"/>
    <w:rsid w:val="00C7655F"/>
    <w:rsid w:val="00C774CB"/>
    <w:rsid w:val="00C85C5B"/>
    <w:rsid w:val="00C86B45"/>
    <w:rsid w:val="00CA1C8D"/>
    <w:rsid w:val="00CC2F72"/>
    <w:rsid w:val="00CF2BDA"/>
    <w:rsid w:val="00CF538D"/>
    <w:rsid w:val="00D0413D"/>
    <w:rsid w:val="00D17508"/>
    <w:rsid w:val="00D23F66"/>
    <w:rsid w:val="00D4032E"/>
    <w:rsid w:val="00D4719C"/>
    <w:rsid w:val="00D653FC"/>
    <w:rsid w:val="00D9211D"/>
    <w:rsid w:val="00DB0111"/>
    <w:rsid w:val="00DB0ECD"/>
    <w:rsid w:val="00DB3215"/>
    <w:rsid w:val="00DC1E7E"/>
    <w:rsid w:val="00DC5CEB"/>
    <w:rsid w:val="00DD2706"/>
    <w:rsid w:val="00DD7374"/>
    <w:rsid w:val="00DE43EF"/>
    <w:rsid w:val="00DF2BC3"/>
    <w:rsid w:val="00DF63DA"/>
    <w:rsid w:val="00DF70B2"/>
    <w:rsid w:val="00E02F34"/>
    <w:rsid w:val="00E06491"/>
    <w:rsid w:val="00E30BD2"/>
    <w:rsid w:val="00E51875"/>
    <w:rsid w:val="00E86CDC"/>
    <w:rsid w:val="00E8757B"/>
    <w:rsid w:val="00E920F2"/>
    <w:rsid w:val="00E97069"/>
    <w:rsid w:val="00EA1C53"/>
    <w:rsid w:val="00EA243F"/>
    <w:rsid w:val="00EA2FF1"/>
    <w:rsid w:val="00EA71F2"/>
    <w:rsid w:val="00EC6846"/>
    <w:rsid w:val="00ED2546"/>
    <w:rsid w:val="00ED3794"/>
    <w:rsid w:val="00ED5396"/>
    <w:rsid w:val="00EE1A0C"/>
    <w:rsid w:val="00EF2C58"/>
    <w:rsid w:val="00F0605F"/>
    <w:rsid w:val="00F145B7"/>
    <w:rsid w:val="00F269B7"/>
    <w:rsid w:val="00F27D66"/>
    <w:rsid w:val="00F33823"/>
    <w:rsid w:val="00F35508"/>
    <w:rsid w:val="00F50645"/>
    <w:rsid w:val="00F728E8"/>
    <w:rsid w:val="00F759E2"/>
    <w:rsid w:val="00F8189C"/>
    <w:rsid w:val="00F83F2C"/>
    <w:rsid w:val="00FA01E8"/>
    <w:rsid w:val="00FA389E"/>
    <w:rsid w:val="00FA6BA0"/>
    <w:rsid w:val="00FB411F"/>
    <w:rsid w:val="00FC08A3"/>
    <w:rsid w:val="00FC46E6"/>
    <w:rsid w:val="00FC4AF1"/>
    <w:rsid w:val="00FC52CA"/>
    <w:rsid w:val="00FC7D34"/>
    <w:rsid w:val="00FD4B8A"/>
    <w:rsid w:val="00FE44FB"/>
    <w:rsid w:val="00FE6A4F"/>
    <w:rsid w:val="00FE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A4"/>
  </w:style>
  <w:style w:type="paragraph" w:styleId="1">
    <w:name w:val="heading 1"/>
    <w:basedOn w:val="a"/>
    <w:next w:val="a"/>
    <w:link w:val="10"/>
    <w:uiPriority w:val="9"/>
    <w:qFormat/>
    <w:rsid w:val="002B1A14"/>
    <w:pPr>
      <w:keepNext/>
      <w:keepLines/>
      <w:spacing w:before="48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693BE6"/>
    <w:rPr>
      <w:color w:val="0000FF"/>
      <w:u w:val="single"/>
    </w:rPr>
  </w:style>
  <w:style w:type="paragraph" w:customStyle="1" w:styleId="Default">
    <w:name w:val="Default"/>
    <w:uiPriority w:val="99"/>
    <w:rsid w:val="008957E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A05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05EC"/>
  </w:style>
  <w:style w:type="paragraph" w:styleId="ab">
    <w:name w:val="footer"/>
    <w:basedOn w:val="a"/>
    <w:link w:val="ac"/>
    <w:uiPriority w:val="99"/>
    <w:unhideWhenUsed/>
    <w:rsid w:val="00AA05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05EC"/>
  </w:style>
  <w:style w:type="character" w:styleId="ad">
    <w:name w:val="Strong"/>
    <w:basedOn w:val="a0"/>
    <w:uiPriority w:val="22"/>
    <w:qFormat/>
    <w:rsid w:val="003942B2"/>
    <w:rPr>
      <w:b/>
      <w:bCs/>
    </w:rPr>
  </w:style>
  <w:style w:type="character" w:customStyle="1" w:styleId="clipboard">
    <w:name w:val="clipboard"/>
    <w:basedOn w:val="a0"/>
    <w:rsid w:val="00640AB4"/>
  </w:style>
  <w:style w:type="paragraph" w:customStyle="1" w:styleId="110">
    <w:name w:val="Заголовок 11"/>
    <w:basedOn w:val="a"/>
    <w:next w:val="a"/>
    <w:uiPriority w:val="9"/>
    <w:qFormat/>
    <w:rsid w:val="002B1A14"/>
    <w:pPr>
      <w:keepNext/>
      <w:keepLines/>
      <w:spacing w:before="240" w:after="0" w:line="256" w:lineRule="auto"/>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2B1A14"/>
  </w:style>
  <w:style w:type="character" w:customStyle="1" w:styleId="10">
    <w:name w:val="Заголовок 1 Знак"/>
    <w:basedOn w:val="a0"/>
    <w:link w:val="1"/>
    <w:uiPriority w:val="9"/>
    <w:rsid w:val="002B1A14"/>
    <w:rPr>
      <w:rFonts w:ascii="Calibri Light" w:eastAsia="Times New Roman" w:hAnsi="Calibri Light" w:cs="Times New Roman"/>
      <w:color w:val="2E74B5"/>
      <w:sz w:val="32"/>
      <w:szCs w:val="32"/>
    </w:rPr>
  </w:style>
  <w:style w:type="character" w:customStyle="1" w:styleId="13">
    <w:name w:val="Просмотренная гиперссылка1"/>
    <w:basedOn w:val="a0"/>
    <w:uiPriority w:val="99"/>
    <w:semiHidden/>
    <w:unhideWhenUsed/>
    <w:rsid w:val="002B1A14"/>
    <w:rPr>
      <w:color w:val="954F72"/>
      <w:u w:val="single"/>
    </w:rPr>
  </w:style>
  <w:style w:type="paragraph" w:styleId="ae">
    <w:name w:val="annotation text"/>
    <w:basedOn w:val="a"/>
    <w:link w:val="af"/>
    <w:uiPriority w:val="99"/>
    <w:semiHidden/>
    <w:unhideWhenUsed/>
    <w:rsid w:val="002B1A14"/>
    <w:pPr>
      <w:spacing w:after="160" w:line="240"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2B1A14"/>
    <w:rPr>
      <w:rFonts w:ascii="Calibri" w:eastAsia="Calibri" w:hAnsi="Calibri" w:cs="Times New Roman"/>
      <w:sz w:val="20"/>
      <w:szCs w:val="20"/>
    </w:rPr>
  </w:style>
  <w:style w:type="paragraph" w:styleId="af0">
    <w:name w:val="Body Text"/>
    <w:basedOn w:val="a"/>
    <w:link w:val="af1"/>
    <w:uiPriority w:val="99"/>
    <w:semiHidden/>
    <w:unhideWhenUsed/>
    <w:rsid w:val="002B1A14"/>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99"/>
    <w:semiHidden/>
    <w:rsid w:val="002B1A14"/>
    <w:rPr>
      <w:rFonts w:ascii="Times New Roman" w:eastAsia="Times New Roman" w:hAnsi="Times New Roman" w:cs="Times New Roman"/>
      <w:sz w:val="28"/>
      <w:szCs w:val="28"/>
    </w:rPr>
  </w:style>
  <w:style w:type="paragraph" w:styleId="af2">
    <w:name w:val="annotation subject"/>
    <w:basedOn w:val="ae"/>
    <w:next w:val="ae"/>
    <w:link w:val="af3"/>
    <w:uiPriority w:val="99"/>
    <w:semiHidden/>
    <w:unhideWhenUsed/>
    <w:rsid w:val="002B1A14"/>
    <w:rPr>
      <w:b/>
      <w:bCs/>
    </w:rPr>
  </w:style>
  <w:style w:type="character" w:customStyle="1" w:styleId="af3">
    <w:name w:val="Тема примечания Знак"/>
    <w:basedOn w:val="af"/>
    <w:link w:val="af2"/>
    <w:uiPriority w:val="99"/>
    <w:semiHidden/>
    <w:rsid w:val="002B1A14"/>
    <w:rPr>
      <w:rFonts w:ascii="Calibri" w:eastAsia="Calibri" w:hAnsi="Calibri" w:cs="Times New Roman"/>
      <w:b/>
      <w:bCs/>
      <w:sz w:val="20"/>
      <w:szCs w:val="20"/>
    </w:rPr>
  </w:style>
  <w:style w:type="paragraph" w:customStyle="1" w:styleId="s1">
    <w:name w:val="s_1"/>
    <w:basedOn w:val="a"/>
    <w:uiPriority w:val="99"/>
    <w:rsid w:val="002B1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uiPriority w:val="99"/>
    <w:rsid w:val="002B1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2B1A14"/>
    <w:pPr>
      <w:spacing w:after="0" w:line="240" w:lineRule="auto"/>
    </w:pPr>
    <w:rPr>
      <w:rFonts w:ascii="Arial" w:eastAsia="Times New Roman" w:hAnsi="Arial" w:cs="Arial"/>
      <w:b/>
      <w:bCs/>
      <w:lang w:eastAsia="ru-RU"/>
    </w:rPr>
  </w:style>
  <w:style w:type="character" w:customStyle="1" w:styleId="ConsPlusNormal">
    <w:name w:val="ConsPlusNormal Знак"/>
    <w:link w:val="ConsPlusNormal0"/>
    <w:locked/>
    <w:rsid w:val="002B1A14"/>
    <w:rPr>
      <w:rFonts w:ascii="Times New Roman" w:eastAsia="Calibri" w:hAnsi="Times New Roman" w:cs="Times New Roman"/>
      <w:sz w:val="28"/>
      <w:szCs w:val="28"/>
      <w:lang w:eastAsia="ru-RU"/>
    </w:rPr>
  </w:style>
  <w:style w:type="paragraph" w:customStyle="1" w:styleId="ConsPlusNormal0">
    <w:name w:val="ConsPlusNormal"/>
    <w:link w:val="ConsPlusNormal"/>
    <w:rsid w:val="002B1A1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uiPriority w:val="99"/>
    <w:rsid w:val="002B1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2B1A14"/>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styleId="af4">
    <w:name w:val="annotation reference"/>
    <w:basedOn w:val="a0"/>
    <w:uiPriority w:val="99"/>
    <w:semiHidden/>
    <w:unhideWhenUsed/>
    <w:rsid w:val="002B1A14"/>
    <w:rPr>
      <w:sz w:val="16"/>
      <w:szCs w:val="16"/>
    </w:rPr>
  </w:style>
  <w:style w:type="character" w:customStyle="1" w:styleId="blk">
    <w:name w:val="blk"/>
    <w:basedOn w:val="a0"/>
    <w:rsid w:val="002B1A14"/>
  </w:style>
  <w:style w:type="character" w:customStyle="1" w:styleId="markedcontent">
    <w:name w:val="markedcontent"/>
    <w:basedOn w:val="a0"/>
    <w:rsid w:val="002B1A14"/>
  </w:style>
  <w:style w:type="character" w:customStyle="1" w:styleId="w">
    <w:name w:val="w"/>
    <w:basedOn w:val="a0"/>
    <w:rsid w:val="002B1A14"/>
  </w:style>
  <w:style w:type="character" w:customStyle="1" w:styleId="a00">
    <w:name w:val="a0"/>
    <w:basedOn w:val="a0"/>
    <w:rsid w:val="002B1A14"/>
  </w:style>
  <w:style w:type="table" w:customStyle="1" w:styleId="2">
    <w:name w:val="Сетка таблицы2"/>
    <w:basedOn w:val="a1"/>
    <w:next w:val="a6"/>
    <w:uiPriority w:val="59"/>
    <w:rsid w:val="002B1A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2B1A14"/>
    <w:rPr>
      <w:rFonts w:asciiTheme="majorHAnsi" w:eastAsiaTheme="majorEastAsia" w:hAnsiTheme="majorHAnsi" w:cstheme="majorBidi"/>
      <w:b/>
      <w:bCs/>
      <w:color w:val="365F91" w:themeColor="accent1" w:themeShade="BF"/>
      <w:sz w:val="28"/>
      <w:szCs w:val="28"/>
    </w:rPr>
  </w:style>
  <w:style w:type="character" w:styleId="af5">
    <w:name w:val="FollowedHyperlink"/>
    <w:basedOn w:val="a0"/>
    <w:uiPriority w:val="99"/>
    <w:semiHidden/>
    <w:unhideWhenUsed/>
    <w:rsid w:val="002B1A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4CCA"/>
    <w:rPr>
      <w:rFonts w:ascii="Tahoma" w:hAnsi="Tahoma" w:cs="Tahoma"/>
      <w:sz w:val="16"/>
      <w:szCs w:val="16"/>
    </w:rPr>
  </w:style>
  <w:style w:type="paragraph" w:styleId="a5">
    <w:name w:val="List Paragraph"/>
    <w:basedOn w:val="a"/>
    <w:uiPriority w:val="34"/>
    <w:qFormat/>
    <w:rsid w:val="005C2AF7"/>
    <w:pPr>
      <w:ind w:left="720"/>
      <w:contextualSpacing/>
    </w:pPr>
  </w:style>
  <w:style w:type="table" w:customStyle="1" w:styleId="11">
    <w:name w:val="Сетка таблицы1"/>
    <w:basedOn w:val="a1"/>
    <w:next w:val="a6"/>
    <w:uiPriority w:val="59"/>
    <w:rsid w:val="009721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97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69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93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5559">
      <w:bodyDiv w:val="1"/>
      <w:marLeft w:val="0"/>
      <w:marRight w:val="0"/>
      <w:marTop w:val="0"/>
      <w:marBottom w:val="0"/>
      <w:divBdr>
        <w:top w:val="none" w:sz="0" w:space="0" w:color="auto"/>
        <w:left w:val="none" w:sz="0" w:space="0" w:color="auto"/>
        <w:bottom w:val="none" w:sz="0" w:space="0" w:color="auto"/>
        <w:right w:val="none" w:sz="0" w:space="0" w:color="auto"/>
      </w:divBdr>
    </w:div>
    <w:div w:id="551429146">
      <w:bodyDiv w:val="1"/>
      <w:marLeft w:val="0"/>
      <w:marRight w:val="0"/>
      <w:marTop w:val="0"/>
      <w:marBottom w:val="0"/>
      <w:divBdr>
        <w:top w:val="none" w:sz="0" w:space="0" w:color="auto"/>
        <w:left w:val="none" w:sz="0" w:space="0" w:color="auto"/>
        <w:bottom w:val="none" w:sz="0" w:space="0" w:color="auto"/>
        <w:right w:val="none" w:sz="0" w:space="0" w:color="auto"/>
      </w:divBdr>
    </w:div>
    <w:div w:id="764767508">
      <w:bodyDiv w:val="1"/>
      <w:marLeft w:val="0"/>
      <w:marRight w:val="0"/>
      <w:marTop w:val="0"/>
      <w:marBottom w:val="0"/>
      <w:divBdr>
        <w:top w:val="none" w:sz="0" w:space="0" w:color="auto"/>
        <w:left w:val="none" w:sz="0" w:space="0" w:color="auto"/>
        <w:bottom w:val="none" w:sz="0" w:space="0" w:color="auto"/>
        <w:right w:val="none" w:sz="0" w:space="0" w:color="auto"/>
      </w:divBdr>
    </w:div>
    <w:div w:id="906721883">
      <w:bodyDiv w:val="1"/>
      <w:marLeft w:val="0"/>
      <w:marRight w:val="0"/>
      <w:marTop w:val="0"/>
      <w:marBottom w:val="0"/>
      <w:divBdr>
        <w:top w:val="none" w:sz="0" w:space="0" w:color="auto"/>
        <w:left w:val="none" w:sz="0" w:space="0" w:color="auto"/>
        <w:bottom w:val="none" w:sz="0" w:space="0" w:color="auto"/>
        <w:right w:val="none" w:sz="0" w:space="0" w:color="auto"/>
      </w:divBdr>
    </w:div>
    <w:div w:id="1682004565">
      <w:bodyDiv w:val="1"/>
      <w:marLeft w:val="0"/>
      <w:marRight w:val="0"/>
      <w:marTop w:val="0"/>
      <w:marBottom w:val="0"/>
      <w:divBdr>
        <w:top w:val="none" w:sz="0" w:space="0" w:color="auto"/>
        <w:left w:val="none" w:sz="0" w:space="0" w:color="auto"/>
        <w:bottom w:val="none" w:sz="0" w:space="0" w:color="auto"/>
        <w:right w:val="none" w:sz="0" w:space="0" w:color="auto"/>
      </w:divBdr>
    </w:div>
    <w:div w:id="180014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64006&amp;dst=87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64006&amp;dst=87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64006&amp;dst=87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64006&amp;dst=5888" TargetMode="External"/><Relationship Id="rId4" Type="http://schemas.microsoft.com/office/2007/relationships/stylesWithEffects" Target="stylesWithEffects.xml"/><Relationship Id="rId9" Type="http://schemas.openxmlformats.org/officeDocument/2006/relationships/hyperlink" Target="consultantplus://offline/ref=6814B65E4DAE11D03607A3E329FDCEDD8A86D7416C65EC3A75100388365C6C6AE1EA739406DC5C8EQ3tFL" TargetMode="External"/><Relationship Id="rId14" Type="http://schemas.openxmlformats.org/officeDocument/2006/relationships/hyperlink" Target="https://login.consultant.ru/link/?req=doc&amp;base=LAW&amp;n=322414&amp;dst=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D3B3-D9F9-4A5E-AF04-B354F133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4492</TotalTime>
  <Pages>1</Pages>
  <Words>4679</Words>
  <Characters>26672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c:creator>
  <cp:keywords/>
  <dc:description/>
  <cp:lastModifiedBy>UserN</cp:lastModifiedBy>
  <cp:revision>189</cp:revision>
  <cp:lastPrinted>2025-03-11T04:34:00Z</cp:lastPrinted>
  <dcterms:created xsi:type="dcterms:W3CDTF">2022-11-02T07:44:00Z</dcterms:created>
  <dcterms:modified xsi:type="dcterms:W3CDTF">2025-03-18T03:50:00Z</dcterms:modified>
</cp:coreProperties>
</file>